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652" w:beforeLines="200"/>
        <w:jc w:val="center"/>
        <w:rPr>
          <w:rFonts w:ascii="宋体" w:hAnsi="宋体" w:eastAsia="宋体" w:cs="宋体"/>
          <w:b/>
          <w:bCs/>
          <w:sz w:val="44"/>
          <w:szCs w:val="44"/>
        </w:rPr>
      </w:pPr>
      <w:r>
        <w:rPr>
          <w:rFonts w:hint="eastAsia" w:ascii="宋体" w:hAnsi="宋体" w:eastAsia="宋体" w:cs="宋体"/>
          <w:b/>
          <w:bCs/>
          <w:sz w:val="44"/>
          <w:szCs w:val="44"/>
        </w:rPr>
        <w:t>长兴县人民医院</w:t>
      </w:r>
    </w:p>
    <w:p>
      <w:pPr>
        <w:widowControl/>
        <w:jc w:val="center"/>
        <w:rPr>
          <w:rFonts w:ascii="宋体" w:hAnsi="宋体" w:eastAsia="宋体" w:cs="宋体"/>
          <w:b/>
          <w:bCs/>
          <w:sz w:val="44"/>
          <w:szCs w:val="44"/>
        </w:rPr>
      </w:pPr>
      <w:r>
        <w:rPr>
          <w:rFonts w:hint="eastAsia" w:ascii="宋体" w:hAnsi="宋体" w:eastAsia="宋体" w:cs="宋体"/>
          <w:b/>
          <w:bCs/>
          <w:sz w:val="44"/>
          <w:szCs w:val="44"/>
        </w:rPr>
        <w:t>患者院后管理系统项目</w:t>
      </w:r>
    </w:p>
    <w:p>
      <w:pPr>
        <w:autoSpaceDE w:val="0"/>
        <w:autoSpaceDN w:val="0"/>
        <w:adjustRightInd w:val="0"/>
        <w:jc w:val="left"/>
        <w:rPr>
          <w:rFonts w:ascii="宋体" w:hAnsi="宋体" w:eastAsia="宋体" w:cs="宋体"/>
          <w:b/>
          <w:bCs/>
          <w:color w:val="000000"/>
          <w:kern w:val="0"/>
          <w:sz w:val="52"/>
          <w:szCs w:val="52"/>
        </w:rPr>
      </w:pPr>
    </w:p>
    <w:p>
      <w:pPr>
        <w:autoSpaceDE w:val="0"/>
        <w:autoSpaceDN w:val="0"/>
        <w:adjustRightInd w:val="0"/>
        <w:jc w:val="left"/>
        <w:rPr>
          <w:rFonts w:ascii="宋体" w:hAnsi="宋体" w:eastAsia="宋体" w:cs="宋体"/>
          <w:b/>
          <w:bCs/>
          <w:color w:val="000000"/>
          <w:kern w:val="0"/>
          <w:sz w:val="52"/>
          <w:szCs w:val="52"/>
        </w:rPr>
      </w:pPr>
    </w:p>
    <w:p>
      <w:pPr>
        <w:autoSpaceDE w:val="0"/>
        <w:autoSpaceDN w:val="0"/>
        <w:adjustRightInd w:val="0"/>
        <w:jc w:val="left"/>
        <w:rPr>
          <w:rFonts w:ascii="宋体" w:hAnsi="宋体" w:eastAsia="宋体" w:cs="宋体"/>
          <w:b/>
          <w:bCs/>
          <w:color w:val="000000"/>
          <w:kern w:val="0"/>
          <w:sz w:val="52"/>
          <w:szCs w:val="52"/>
        </w:rPr>
      </w:pPr>
    </w:p>
    <w:p>
      <w:pPr>
        <w:widowControl/>
        <w:jc w:val="center"/>
        <w:rPr>
          <w:rFonts w:ascii="宋体" w:hAnsi="宋体" w:eastAsia="宋体" w:cs="宋体"/>
          <w:b/>
          <w:bCs/>
          <w:sz w:val="52"/>
          <w:szCs w:val="52"/>
        </w:rPr>
      </w:pPr>
      <w:r>
        <w:rPr>
          <w:rFonts w:hint="eastAsia" w:ascii="宋体" w:hAnsi="宋体" w:eastAsia="宋体" w:cs="宋体"/>
          <w:b/>
          <w:bCs/>
          <w:sz w:val="52"/>
          <w:szCs w:val="52"/>
        </w:rPr>
        <w:t>招标文件</w:t>
      </w:r>
    </w:p>
    <w:p>
      <w:pPr>
        <w:widowControl/>
        <w:spacing w:before="1467" w:beforeLines="450"/>
        <w:jc w:val="center"/>
        <w:rPr>
          <w:rFonts w:ascii="宋体" w:hAnsi="宋体" w:eastAsia="宋体" w:cs="宋体"/>
          <w:b/>
          <w:bCs/>
          <w:sz w:val="28"/>
          <w:szCs w:val="28"/>
        </w:rPr>
      </w:pPr>
    </w:p>
    <w:p>
      <w:pPr>
        <w:jc w:val="center"/>
        <w:rPr>
          <w:rFonts w:hint="eastAsia" w:eastAsiaTheme="minorEastAsia"/>
          <w:lang w:val="en-US" w:eastAsia="zh-CN"/>
        </w:rPr>
      </w:pPr>
      <w:r>
        <w:rPr>
          <w:rFonts w:hint="eastAsia" w:ascii="宋体" w:hAnsi="宋体"/>
          <w:b/>
          <w:kern w:val="0"/>
          <w:sz w:val="24"/>
        </w:rPr>
        <w:t>标书编号：CGZX</w:t>
      </w:r>
      <w:r>
        <w:rPr>
          <w:rFonts w:hint="eastAsia" w:ascii="宋体" w:hAnsi="宋体"/>
          <w:b/>
          <w:kern w:val="0"/>
          <w:sz w:val="24"/>
          <w:lang w:val="en-US" w:eastAsia="zh-CN"/>
        </w:rPr>
        <w:t>-</w:t>
      </w:r>
      <w:r>
        <w:rPr>
          <w:rFonts w:hint="eastAsia" w:ascii="宋体" w:hAnsi="宋体"/>
          <w:b/>
          <w:kern w:val="0"/>
          <w:sz w:val="24"/>
        </w:rPr>
        <w:t>2021-</w:t>
      </w:r>
      <w:r>
        <w:rPr>
          <w:rFonts w:hint="eastAsia" w:ascii="宋体" w:hAnsi="宋体"/>
          <w:b/>
          <w:kern w:val="0"/>
          <w:sz w:val="24"/>
          <w:lang w:val="en-US" w:eastAsia="zh-CN"/>
        </w:rPr>
        <w:t>IT-</w:t>
      </w:r>
      <w:r>
        <w:rPr>
          <w:rFonts w:hint="eastAsia" w:ascii="宋体" w:hAnsi="宋体"/>
          <w:b/>
          <w:kern w:val="0"/>
          <w:sz w:val="24"/>
        </w:rPr>
        <w:t>0</w:t>
      </w:r>
      <w:r>
        <w:rPr>
          <w:rFonts w:hint="eastAsia" w:ascii="宋体" w:hAnsi="宋体"/>
          <w:b/>
          <w:kern w:val="0"/>
          <w:sz w:val="24"/>
          <w:lang w:val="en-US" w:eastAsia="zh-CN"/>
        </w:rPr>
        <w:t>2</w:t>
      </w:r>
    </w:p>
    <w:p>
      <w:pPr>
        <w:autoSpaceDE w:val="0"/>
        <w:autoSpaceDN w:val="0"/>
        <w:adjustRightInd w:val="0"/>
        <w:jc w:val="left"/>
        <w:rPr>
          <w:rFonts w:hint="eastAsia" w:ascii="宋体" w:hAnsi="宋体" w:eastAsia="宋体" w:cs="宋体"/>
          <w:color w:val="000000"/>
          <w:kern w:val="0"/>
          <w:sz w:val="24"/>
          <w:szCs w:val="24"/>
          <w:lang w:eastAsia="zh-CN"/>
        </w:rPr>
      </w:pPr>
    </w:p>
    <w:p>
      <w:pPr>
        <w:widowControl/>
        <w:spacing w:before="163" w:beforeLines="50"/>
        <w:jc w:val="center"/>
        <w:rPr>
          <w:rFonts w:ascii="宋体" w:hAnsi="宋体" w:eastAsia="宋体" w:cs="宋体"/>
          <w:b/>
          <w:bCs/>
          <w:sz w:val="28"/>
          <w:szCs w:val="28"/>
        </w:rPr>
        <w:sectPr>
          <w:headerReference r:id="rId4" w:type="first"/>
          <w:footerReference r:id="rId6" w:type="first"/>
          <w:headerReference r:id="rId3" w:type="default"/>
          <w:footerReference r:id="rId5" w:type="default"/>
          <w:pgSz w:w="11900" w:h="16840"/>
          <w:pgMar w:top="1440" w:right="1800" w:bottom="1440" w:left="1800" w:header="851" w:footer="992" w:gutter="0"/>
          <w:cols w:space="720" w:num="1"/>
          <w:titlePg/>
          <w:docGrid w:type="lines" w:linePitch="326" w:charSpace="0"/>
        </w:sectPr>
      </w:pPr>
      <w:r>
        <w:rPr>
          <w:rFonts w:hint="eastAsia" w:ascii="宋体" w:hAnsi="宋体" w:eastAsia="宋体" w:cs="宋体"/>
          <w:b/>
          <w:bCs/>
          <w:sz w:val="28"/>
          <w:szCs w:val="28"/>
        </w:rPr>
        <w:t>二零二一年</w:t>
      </w:r>
      <w:r>
        <w:rPr>
          <w:rFonts w:hint="eastAsia" w:ascii="宋体" w:hAnsi="宋体" w:eastAsia="宋体" w:cs="宋体"/>
          <w:b/>
          <w:bCs/>
          <w:sz w:val="28"/>
          <w:szCs w:val="28"/>
          <w:lang w:eastAsia="zh-CN"/>
        </w:rPr>
        <w:t>七</w:t>
      </w:r>
      <w:r>
        <w:rPr>
          <w:rFonts w:hint="eastAsia" w:ascii="宋体" w:hAnsi="宋体" w:eastAsia="宋体" w:cs="宋体"/>
          <w:b/>
          <w:bCs/>
          <w:sz w:val="28"/>
          <w:szCs w:val="28"/>
        </w:rPr>
        <w:t>月</w:t>
      </w:r>
    </w:p>
    <w:p>
      <w:pPr>
        <w:pStyle w:val="3"/>
        <w:spacing w:after="0" w:line="360" w:lineRule="auto"/>
        <w:rPr>
          <w:rFonts w:ascii="宋体" w:hAnsi="宋体" w:cs="宋体"/>
          <w:color w:val="000000"/>
        </w:rPr>
      </w:pPr>
      <w:r>
        <w:rPr>
          <w:rFonts w:hint="eastAsia" w:ascii="宋体" w:hAnsi="宋体" w:cs="宋体"/>
          <w:color w:val="000000"/>
        </w:rPr>
        <w:t>1.投标邀请书</w:t>
      </w:r>
    </w:p>
    <w:p>
      <w:pPr>
        <w:spacing w:before="180" w:beforeLines="50" w:line="360" w:lineRule="auto"/>
        <w:ind w:firstLine="420" w:firstLineChars="200"/>
        <w:rPr>
          <w:rFonts w:ascii="宋体" w:hAnsi="宋体" w:eastAsia="宋体" w:cs="宋体"/>
        </w:rPr>
      </w:pPr>
      <w:r>
        <w:rPr>
          <w:rFonts w:hint="eastAsia" w:ascii="宋体" w:hAnsi="宋体" w:eastAsia="宋体" w:cs="宋体"/>
        </w:rPr>
        <w:t>长兴县人民医院</w:t>
      </w:r>
      <w:r>
        <w:rPr>
          <w:rFonts w:hint="eastAsia" w:ascii="宋体" w:hAnsi="宋体" w:eastAsia="宋体" w:cs="宋体"/>
          <w:u w:val="single"/>
        </w:rPr>
        <w:t>患者院后管理系统项目</w:t>
      </w:r>
      <w:r>
        <w:rPr>
          <w:rFonts w:hint="eastAsia" w:ascii="宋体" w:hAnsi="宋体" w:eastAsia="宋体" w:cs="宋体"/>
        </w:rPr>
        <w:t>进行公开招标，诚邀符合相关条件的各供应商参加投标。</w:t>
      </w:r>
    </w:p>
    <w:p>
      <w:pPr>
        <w:pStyle w:val="4"/>
        <w:numPr>
          <w:ilvl w:val="0"/>
          <w:numId w:val="2"/>
        </w:numPr>
        <w:tabs>
          <w:tab w:val="left" w:pos="360"/>
        </w:tabs>
        <w:spacing w:before="120"/>
        <w:ind w:left="0" w:firstLine="0"/>
        <w:rPr>
          <w:rFonts w:ascii="宋体" w:hAnsi="宋体" w:cs="宋体"/>
          <w:color w:val="000000"/>
        </w:rPr>
      </w:pPr>
      <w:bookmarkStart w:id="0" w:name="_Toc20148888"/>
      <w:bookmarkStart w:id="1" w:name="_Toc408991740"/>
      <w:r>
        <w:rPr>
          <w:rFonts w:hint="eastAsia" w:ascii="宋体" w:hAnsi="宋体" w:cs="宋体"/>
          <w:color w:val="000000"/>
        </w:rPr>
        <w:t>投标资质</w:t>
      </w:r>
      <w:bookmarkEnd w:id="0"/>
      <w:bookmarkEnd w:id="1"/>
    </w:p>
    <w:p>
      <w:pPr>
        <w:snapToGrid w:val="0"/>
        <w:spacing w:line="360" w:lineRule="auto"/>
        <w:ind w:firstLine="210" w:firstLineChars="100"/>
        <w:rPr>
          <w:rFonts w:ascii="宋体" w:hAnsi="宋体" w:eastAsia="宋体" w:cs="宋体"/>
        </w:rPr>
      </w:pPr>
      <w:r>
        <w:rPr>
          <w:rFonts w:hint="eastAsia" w:ascii="宋体" w:hAnsi="宋体" w:eastAsia="宋体" w:cs="宋体"/>
          <w:bCs/>
        </w:rPr>
        <w:t>（一）符合政府采购法第二十二条第一款规定的条件，并提供下列材料</w:t>
      </w:r>
    </w:p>
    <w:p>
      <w:pPr>
        <w:snapToGrid w:val="0"/>
        <w:spacing w:line="360" w:lineRule="auto"/>
        <w:ind w:firstLine="210" w:firstLineChars="100"/>
        <w:rPr>
          <w:rFonts w:ascii="宋体" w:hAnsi="宋体" w:eastAsia="宋体" w:cs="宋体"/>
          <w:bCs/>
        </w:rPr>
      </w:pPr>
      <w:r>
        <w:rPr>
          <w:rFonts w:hint="eastAsia" w:ascii="宋体" w:hAnsi="宋体" w:eastAsia="宋体" w:cs="宋体"/>
          <w:bCs/>
        </w:rPr>
        <w:t>1、法人或者其他组织的营业执照等证明文件，自然人的身份证明。</w:t>
      </w:r>
    </w:p>
    <w:p>
      <w:pPr>
        <w:snapToGrid w:val="0"/>
        <w:spacing w:line="360" w:lineRule="auto"/>
        <w:ind w:firstLine="210" w:firstLineChars="100"/>
        <w:rPr>
          <w:rFonts w:ascii="宋体" w:hAnsi="宋体" w:eastAsia="宋体" w:cs="宋体"/>
        </w:rPr>
      </w:pPr>
      <w:r>
        <w:rPr>
          <w:rFonts w:hint="eastAsia" w:ascii="宋体" w:hAnsi="宋体" w:eastAsia="宋体" w:cs="宋体"/>
          <w:bCs/>
        </w:rPr>
        <w:t>2、上一年度的财务状况报告（成立不满一年不需提供）。</w:t>
      </w:r>
    </w:p>
    <w:p>
      <w:pPr>
        <w:snapToGrid w:val="0"/>
        <w:spacing w:line="360" w:lineRule="auto"/>
        <w:ind w:firstLine="210" w:firstLineChars="100"/>
        <w:rPr>
          <w:rFonts w:ascii="宋体" w:hAnsi="宋体" w:eastAsia="宋体" w:cs="宋体"/>
          <w:bCs/>
        </w:rPr>
      </w:pPr>
      <w:r>
        <w:rPr>
          <w:rFonts w:hint="eastAsia" w:ascii="宋体" w:hAnsi="宋体" w:eastAsia="宋体" w:cs="宋体"/>
          <w:bCs/>
        </w:rPr>
        <w:t>3、依法缴纳税收和社会保障资金的相关材料。</w:t>
      </w:r>
    </w:p>
    <w:p>
      <w:pPr>
        <w:snapToGrid w:val="0"/>
        <w:spacing w:line="360" w:lineRule="auto"/>
        <w:ind w:firstLine="210" w:firstLineChars="100"/>
        <w:rPr>
          <w:rFonts w:ascii="宋体" w:hAnsi="宋体" w:eastAsia="宋体" w:cs="宋体"/>
          <w:bCs/>
        </w:rPr>
      </w:pPr>
      <w:r>
        <w:rPr>
          <w:rFonts w:hint="eastAsia" w:ascii="宋体" w:hAnsi="宋体" w:eastAsia="宋体" w:cs="宋体"/>
          <w:bCs/>
        </w:rPr>
        <w:t>4、具备履行合同所必需的货物和专业技术能力的书面声明。</w:t>
      </w:r>
    </w:p>
    <w:p>
      <w:pPr>
        <w:snapToGrid w:val="0"/>
        <w:spacing w:line="360" w:lineRule="auto"/>
        <w:ind w:firstLine="210" w:firstLineChars="100"/>
        <w:rPr>
          <w:rFonts w:ascii="宋体" w:hAnsi="宋体" w:eastAsia="宋体" w:cs="宋体"/>
        </w:rPr>
      </w:pPr>
      <w:r>
        <w:rPr>
          <w:rFonts w:hint="eastAsia" w:ascii="宋体" w:hAnsi="宋体" w:eastAsia="宋体" w:cs="宋体"/>
          <w:bCs/>
        </w:rPr>
        <w:t>5、参加政府采购活动前3年内在经营活动中没有重大违法记录的书面声明。</w:t>
      </w:r>
    </w:p>
    <w:p>
      <w:pPr>
        <w:snapToGrid w:val="0"/>
        <w:spacing w:line="360" w:lineRule="auto"/>
        <w:ind w:firstLine="210" w:firstLineChars="100"/>
        <w:rPr>
          <w:rFonts w:ascii="宋体" w:hAnsi="宋体" w:eastAsia="宋体" w:cs="宋体"/>
          <w:bCs/>
        </w:rPr>
      </w:pPr>
      <w:r>
        <w:rPr>
          <w:rFonts w:hint="eastAsia" w:ascii="宋体" w:hAnsi="宋体" w:eastAsia="宋体" w:cs="宋体"/>
          <w:bCs/>
        </w:rPr>
        <w:t>（二）其他资格要求：</w:t>
      </w:r>
    </w:p>
    <w:p>
      <w:pPr>
        <w:snapToGrid w:val="0"/>
        <w:spacing w:line="360" w:lineRule="auto"/>
        <w:ind w:firstLine="210" w:firstLineChars="100"/>
        <w:rPr>
          <w:rFonts w:ascii="宋体" w:hAnsi="宋体" w:eastAsia="宋体" w:cs="宋体"/>
          <w:bCs/>
        </w:rPr>
      </w:pPr>
      <w:r>
        <w:rPr>
          <w:rFonts w:hint="eastAsia" w:ascii="宋体" w:hAnsi="宋体" w:eastAsia="宋体" w:cs="宋体"/>
          <w:bCs/>
        </w:rPr>
        <w:t>1、投标人需提供营业执照等（投标人是中华人民共和国境内的须提供）。（复印件）</w:t>
      </w:r>
    </w:p>
    <w:p>
      <w:pPr>
        <w:snapToGrid w:val="0"/>
        <w:spacing w:line="360" w:lineRule="auto"/>
        <w:ind w:firstLine="210" w:firstLineChars="100"/>
        <w:rPr>
          <w:rFonts w:ascii="宋体" w:hAnsi="宋体" w:eastAsia="宋体" w:cs="宋体"/>
          <w:bCs/>
        </w:rPr>
      </w:pPr>
      <w:r>
        <w:rPr>
          <w:rFonts w:hint="eastAsia" w:ascii="宋体" w:hAnsi="宋体" w:eastAsia="宋体" w:cs="宋体"/>
          <w:bCs/>
        </w:rPr>
        <w:t>2、投标人需提供法定代表人授权书（原件）</w:t>
      </w:r>
    </w:p>
    <w:p>
      <w:pPr>
        <w:snapToGrid w:val="0"/>
        <w:spacing w:line="360" w:lineRule="auto"/>
        <w:ind w:firstLine="210" w:firstLineChars="100"/>
        <w:rPr>
          <w:rFonts w:ascii="宋体" w:hAnsi="宋体" w:eastAsia="宋体" w:cs="宋体"/>
          <w:bCs/>
        </w:rPr>
      </w:pPr>
      <w:r>
        <w:rPr>
          <w:rFonts w:hint="eastAsia" w:ascii="宋体" w:hAnsi="宋体" w:eastAsia="宋体" w:cs="宋体"/>
          <w:bCs/>
        </w:rPr>
        <w:t>3、未被“信用中国”网站（www.creditchina.gov.cn）列入失信被执行人、重大税收违法案件当事人名单、政府采购严重失信行为记录名单。提供查询结果截图。</w:t>
      </w:r>
    </w:p>
    <w:p>
      <w:pPr>
        <w:snapToGrid w:val="0"/>
        <w:spacing w:line="360" w:lineRule="auto"/>
        <w:ind w:firstLine="210" w:firstLineChars="100"/>
        <w:rPr>
          <w:rFonts w:ascii="宋体" w:hAnsi="宋体" w:eastAsia="宋体" w:cs="宋体"/>
          <w:bCs/>
        </w:rPr>
      </w:pPr>
      <w:r>
        <w:rPr>
          <w:rFonts w:hint="eastAsia" w:ascii="宋体" w:hAnsi="宋体" w:eastAsia="宋体" w:cs="宋体"/>
          <w:bCs/>
        </w:rPr>
        <w:t>（三）本项目不接受联合体投标；</w:t>
      </w:r>
    </w:p>
    <w:p>
      <w:pPr>
        <w:pStyle w:val="4"/>
        <w:numPr>
          <w:ilvl w:val="0"/>
          <w:numId w:val="2"/>
        </w:numPr>
        <w:tabs>
          <w:tab w:val="left" w:pos="360"/>
        </w:tabs>
        <w:spacing w:before="120"/>
        <w:ind w:left="0" w:firstLine="0"/>
        <w:rPr>
          <w:rFonts w:ascii="宋体" w:hAnsi="宋体" w:cs="宋体"/>
          <w:color w:val="000000"/>
        </w:rPr>
      </w:pPr>
      <w:bookmarkStart w:id="2" w:name="_Toc408991741"/>
      <w:bookmarkStart w:id="3" w:name="_Toc20148889"/>
      <w:r>
        <w:rPr>
          <w:rFonts w:hint="eastAsia" w:ascii="宋体" w:hAnsi="宋体" w:cs="宋体"/>
          <w:color w:val="000000"/>
        </w:rPr>
        <w:t>标书认领</w:t>
      </w:r>
      <w:bookmarkEnd w:id="2"/>
      <w:bookmarkEnd w:id="3"/>
    </w:p>
    <w:p>
      <w:pPr>
        <w:pStyle w:val="15"/>
        <w:spacing w:line="360" w:lineRule="auto"/>
        <w:ind w:firstLine="480"/>
        <w:rPr>
          <w:rFonts w:ascii="宋体" w:hAnsi="宋体" w:cs="宋体"/>
          <w:sz w:val="24"/>
          <w:highlight w:val="none"/>
        </w:rPr>
      </w:pPr>
      <w:r>
        <w:rPr>
          <w:rFonts w:hint="eastAsia" w:ascii="宋体" w:hAnsi="宋体" w:cs="宋体"/>
          <w:sz w:val="24"/>
        </w:rPr>
        <w:t>标书发放时间</w:t>
      </w:r>
      <w:r>
        <w:rPr>
          <w:rFonts w:hint="eastAsia" w:ascii="宋体" w:hAnsi="宋体" w:cs="宋体"/>
          <w:sz w:val="24"/>
          <w:highlight w:val="none"/>
        </w:rPr>
        <w:t>：</w:t>
      </w:r>
      <w:r>
        <w:rPr>
          <w:rFonts w:hint="eastAsia" w:ascii="宋体" w:hAnsi="宋体" w:cs="宋体"/>
          <w:sz w:val="24"/>
          <w:highlight w:val="none"/>
          <w:u w:val="single"/>
        </w:rPr>
        <w:t>2021</w:t>
      </w:r>
      <w:r>
        <w:rPr>
          <w:rFonts w:hint="eastAsia" w:ascii="宋体" w:hAnsi="宋体" w:cs="宋体"/>
          <w:sz w:val="24"/>
          <w:highlight w:val="none"/>
        </w:rPr>
        <w:t>年</w:t>
      </w:r>
      <w:r>
        <w:rPr>
          <w:rFonts w:hint="eastAsia" w:ascii="宋体" w:hAnsi="宋体" w:cs="宋体"/>
          <w:sz w:val="24"/>
          <w:highlight w:val="none"/>
          <w:u w:val="single"/>
        </w:rPr>
        <w:t>0</w:t>
      </w:r>
      <w:r>
        <w:rPr>
          <w:rFonts w:hint="eastAsia" w:ascii="宋体" w:hAnsi="宋体" w:cs="宋体"/>
          <w:sz w:val="24"/>
          <w:highlight w:val="none"/>
          <w:u w:val="single"/>
          <w:lang w:val="en-US" w:eastAsia="zh-CN"/>
        </w:rPr>
        <w:t>7</w:t>
      </w:r>
      <w:r>
        <w:rPr>
          <w:rFonts w:hint="eastAsia" w:ascii="宋体" w:hAnsi="宋体" w:cs="宋体"/>
          <w:sz w:val="24"/>
          <w:highlight w:val="none"/>
        </w:rPr>
        <w:t>月</w:t>
      </w:r>
      <w:r>
        <w:rPr>
          <w:rFonts w:hint="eastAsia" w:ascii="宋体" w:hAnsi="宋体" w:cs="宋体"/>
          <w:sz w:val="24"/>
          <w:highlight w:val="none"/>
          <w:u w:val="single"/>
          <w:lang w:val="en-US" w:eastAsia="zh-CN"/>
        </w:rPr>
        <w:t>20</w:t>
      </w:r>
      <w:r>
        <w:rPr>
          <w:rFonts w:hint="eastAsia" w:ascii="宋体" w:hAnsi="宋体" w:cs="宋体"/>
          <w:sz w:val="24"/>
          <w:highlight w:val="none"/>
        </w:rPr>
        <w:t>日</w:t>
      </w:r>
    </w:p>
    <w:p>
      <w:pPr>
        <w:pStyle w:val="15"/>
        <w:spacing w:line="360" w:lineRule="auto"/>
        <w:ind w:firstLine="480"/>
        <w:rPr>
          <w:rFonts w:ascii="宋体" w:hAnsi="宋体" w:cs="宋体"/>
          <w:sz w:val="24"/>
        </w:rPr>
      </w:pPr>
      <w:r>
        <w:rPr>
          <w:rFonts w:hint="eastAsia" w:ascii="宋体" w:hAnsi="宋体" w:cs="宋体"/>
          <w:sz w:val="24"/>
        </w:rPr>
        <w:t>投标人购买标书时应提交的资料：</w:t>
      </w:r>
    </w:p>
    <w:p>
      <w:pPr>
        <w:pStyle w:val="15"/>
        <w:spacing w:line="360" w:lineRule="auto"/>
        <w:ind w:firstLine="480"/>
        <w:rPr>
          <w:rFonts w:ascii="宋体" w:hAnsi="宋体" w:cs="宋体"/>
          <w:sz w:val="24"/>
        </w:rPr>
      </w:pPr>
      <w:r>
        <w:rPr>
          <w:rFonts w:hint="eastAsia" w:ascii="宋体" w:hAnsi="宋体" w:cs="宋体"/>
          <w:sz w:val="24"/>
        </w:rPr>
        <w:t>a)企业营业执照副本（复印件加盖公章）</w:t>
      </w:r>
    </w:p>
    <w:p>
      <w:pPr>
        <w:pStyle w:val="15"/>
        <w:spacing w:line="360" w:lineRule="auto"/>
        <w:ind w:firstLine="480"/>
        <w:rPr>
          <w:rFonts w:ascii="宋体" w:hAnsi="宋体" w:cs="宋体"/>
          <w:sz w:val="24"/>
        </w:rPr>
      </w:pPr>
      <w:r>
        <w:rPr>
          <w:rFonts w:hint="eastAsia" w:ascii="宋体" w:hAnsi="宋体" w:cs="宋体"/>
          <w:sz w:val="24"/>
        </w:rPr>
        <w:t>b)法定代表人授权委托书（原件）</w:t>
      </w:r>
    </w:p>
    <w:p>
      <w:pPr>
        <w:pStyle w:val="15"/>
        <w:spacing w:line="360" w:lineRule="auto"/>
        <w:ind w:firstLine="480"/>
        <w:rPr>
          <w:rFonts w:ascii="宋体" w:hAnsi="宋体" w:cs="宋体"/>
          <w:sz w:val="24"/>
        </w:rPr>
      </w:pPr>
      <w:r>
        <w:rPr>
          <w:rFonts w:hint="eastAsia" w:ascii="宋体" w:hAnsi="宋体" w:cs="宋体"/>
          <w:sz w:val="24"/>
        </w:rPr>
        <w:t>联系人：姚国华</w:t>
      </w:r>
    </w:p>
    <w:p>
      <w:pPr>
        <w:pStyle w:val="15"/>
        <w:spacing w:line="360" w:lineRule="auto"/>
        <w:ind w:firstLine="480"/>
        <w:rPr>
          <w:rFonts w:ascii="宋体" w:hAnsi="宋体" w:cs="宋体"/>
          <w:sz w:val="24"/>
        </w:rPr>
      </w:pPr>
      <w:r>
        <w:rPr>
          <w:rFonts w:hint="eastAsia" w:ascii="宋体" w:hAnsi="宋体" w:cs="宋体"/>
          <w:sz w:val="24"/>
        </w:rPr>
        <w:t>联系电话：13587225449</w:t>
      </w:r>
    </w:p>
    <w:p>
      <w:pPr>
        <w:pStyle w:val="4"/>
        <w:numPr>
          <w:ilvl w:val="0"/>
          <w:numId w:val="2"/>
        </w:numPr>
        <w:tabs>
          <w:tab w:val="left" w:pos="360"/>
        </w:tabs>
        <w:spacing w:before="120"/>
        <w:ind w:left="0" w:firstLine="0"/>
        <w:rPr>
          <w:rFonts w:ascii="宋体" w:hAnsi="宋体" w:cs="宋体"/>
          <w:color w:val="000000"/>
        </w:rPr>
      </w:pPr>
      <w:bookmarkStart w:id="4" w:name="_Toc408991743"/>
      <w:bookmarkStart w:id="5" w:name="_Toc20148890"/>
      <w:r>
        <w:rPr>
          <w:rFonts w:hint="eastAsia" w:ascii="宋体" w:hAnsi="宋体" w:cs="宋体"/>
          <w:color w:val="000000"/>
        </w:rPr>
        <w:t>评标开标</w:t>
      </w:r>
      <w:bookmarkEnd w:id="4"/>
      <w:bookmarkEnd w:id="5"/>
    </w:p>
    <w:p>
      <w:pPr>
        <w:pStyle w:val="15"/>
        <w:spacing w:line="360" w:lineRule="auto"/>
        <w:ind w:firstLine="480"/>
        <w:rPr>
          <w:rFonts w:ascii="宋体" w:hAnsi="宋体" w:cs="宋体"/>
          <w:sz w:val="24"/>
          <w:highlight w:val="none"/>
        </w:rPr>
      </w:pPr>
      <w:r>
        <w:rPr>
          <w:rFonts w:hint="eastAsia" w:ascii="宋体" w:hAnsi="宋体" w:cs="宋体"/>
          <w:sz w:val="24"/>
        </w:rPr>
        <w:t>开标时间：</w:t>
      </w:r>
      <w:r>
        <w:rPr>
          <w:rFonts w:hint="eastAsia" w:ascii="宋体" w:hAnsi="宋体" w:cs="宋体"/>
          <w:sz w:val="24"/>
          <w:highlight w:val="none"/>
        </w:rPr>
        <w:t>2021年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23</w:t>
      </w:r>
      <w:r>
        <w:rPr>
          <w:rFonts w:hint="eastAsia" w:ascii="宋体" w:hAnsi="宋体" w:cs="宋体"/>
          <w:sz w:val="24"/>
          <w:highlight w:val="none"/>
        </w:rPr>
        <w:t>日14:</w:t>
      </w:r>
      <w:r>
        <w:rPr>
          <w:rFonts w:hint="eastAsia" w:ascii="宋体" w:hAnsi="宋体" w:cs="宋体"/>
          <w:sz w:val="24"/>
          <w:highlight w:val="none"/>
          <w:lang w:val="en-US" w:eastAsia="zh-CN"/>
        </w:rPr>
        <w:t>3</w:t>
      </w:r>
      <w:r>
        <w:rPr>
          <w:rFonts w:hint="eastAsia" w:ascii="宋体" w:hAnsi="宋体" w:cs="宋体"/>
          <w:sz w:val="24"/>
          <w:highlight w:val="none"/>
        </w:rPr>
        <w:t xml:space="preserve">0 </w:t>
      </w:r>
    </w:p>
    <w:p>
      <w:pPr>
        <w:widowControl/>
        <w:spacing w:line="380" w:lineRule="exact"/>
        <w:ind w:firstLine="480" w:firstLineChars="200"/>
        <w:rPr>
          <w:rFonts w:hint="eastAsia" w:ascii="宋体" w:hAnsi="宋体" w:eastAsia="宋体" w:cs="宋体"/>
          <w:spacing w:val="11"/>
          <w:kern w:val="0"/>
          <w:szCs w:val="21"/>
        </w:rPr>
      </w:pPr>
      <w:r>
        <w:rPr>
          <w:rFonts w:hint="eastAsia" w:ascii="宋体" w:hAnsi="宋体" w:eastAsia="宋体" w:cs="宋体"/>
          <w:sz w:val="24"/>
        </w:rPr>
        <w:t>评标地点：</w:t>
      </w:r>
      <w:r>
        <w:rPr>
          <w:rFonts w:hint="eastAsia" w:ascii="宋体" w:hAnsi="宋体" w:eastAsia="宋体" w:cs="宋体"/>
          <w:bCs/>
          <w:color w:val="000000"/>
          <w:sz w:val="24"/>
        </w:rPr>
        <w:t>长兴县人民医院3号楼三楼8会议室</w:t>
      </w:r>
    </w:p>
    <w:p>
      <w:pPr>
        <w:pStyle w:val="15"/>
        <w:spacing w:line="360" w:lineRule="auto"/>
        <w:ind w:firstLine="480"/>
        <w:rPr>
          <w:rFonts w:ascii="宋体" w:hAnsi="宋体" w:cs="宋体"/>
          <w:sz w:val="24"/>
        </w:rPr>
      </w:pPr>
    </w:p>
    <w:p>
      <w:pPr>
        <w:rPr>
          <w:rFonts w:ascii="宋体" w:hAnsi="宋体" w:eastAsia="宋体" w:cs="宋体"/>
          <w:color w:val="000000"/>
        </w:rPr>
      </w:pPr>
    </w:p>
    <w:p>
      <w:pPr>
        <w:pStyle w:val="3"/>
        <w:rPr>
          <w:rFonts w:ascii="宋体" w:hAnsi="宋体" w:cs="宋体"/>
          <w:color w:val="000000"/>
        </w:rPr>
      </w:pPr>
      <w:bookmarkStart w:id="6" w:name="_Toc20148891"/>
      <w:r>
        <w:rPr>
          <w:rFonts w:hint="eastAsia" w:ascii="宋体" w:hAnsi="宋体" w:cs="宋体"/>
          <w:color w:val="000000"/>
        </w:rPr>
        <w:t>2.投标人须知</w:t>
      </w:r>
      <w:bookmarkEnd w:id="6"/>
    </w:p>
    <w:p>
      <w:pPr>
        <w:pStyle w:val="4"/>
        <w:numPr>
          <w:ilvl w:val="0"/>
          <w:numId w:val="3"/>
        </w:numPr>
        <w:tabs>
          <w:tab w:val="left" w:pos="360"/>
        </w:tabs>
        <w:spacing w:before="120"/>
        <w:ind w:left="0" w:firstLine="0"/>
        <w:rPr>
          <w:rFonts w:ascii="宋体" w:hAnsi="宋体" w:cs="宋体"/>
          <w:color w:val="000000"/>
        </w:rPr>
      </w:pPr>
      <w:bookmarkStart w:id="7" w:name="_Toc20148892"/>
      <w:r>
        <w:rPr>
          <w:rFonts w:hint="eastAsia" w:ascii="宋体" w:hAnsi="宋体" w:cs="宋体"/>
          <w:color w:val="000000"/>
        </w:rPr>
        <w:t>总则</w:t>
      </w:r>
      <w:bookmarkEnd w:id="7"/>
    </w:p>
    <w:p>
      <w:pPr>
        <w:pStyle w:val="5"/>
        <w:numPr>
          <w:ilvl w:val="0"/>
          <w:numId w:val="4"/>
        </w:numPr>
        <w:tabs>
          <w:tab w:val="left" w:pos="360"/>
        </w:tabs>
        <w:ind w:left="0" w:firstLine="0"/>
        <w:rPr>
          <w:rFonts w:ascii="宋体" w:hAnsi="宋体" w:eastAsia="宋体" w:cs="宋体"/>
          <w:color w:val="000000"/>
        </w:rPr>
      </w:pPr>
      <w:r>
        <w:rPr>
          <w:rFonts w:hint="eastAsia" w:ascii="宋体" w:hAnsi="宋体" w:eastAsia="宋体" w:cs="宋体"/>
          <w:color w:val="000000"/>
        </w:rPr>
        <w:t xml:space="preserve">适用范围和定义 </w:t>
      </w:r>
    </w:p>
    <w:p>
      <w:pPr>
        <w:widowControl/>
        <w:numPr>
          <w:ilvl w:val="0"/>
          <w:numId w:val="5"/>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本招标文件仅适用于本投标邀请中所叙述项目的开发和实施等。 </w:t>
      </w:r>
    </w:p>
    <w:p>
      <w:pPr>
        <w:widowControl/>
        <w:numPr>
          <w:ilvl w:val="0"/>
          <w:numId w:val="5"/>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“招标人”在本项目中特指长兴县人民医院。 </w:t>
      </w:r>
    </w:p>
    <w:p>
      <w:pPr>
        <w:widowControl/>
        <w:numPr>
          <w:ilvl w:val="0"/>
          <w:numId w:val="5"/>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“投标人”系指响应招标人要求，向招标人提交投标文件的开发商。 </w:t>
      </w:r>
    </w:p>
    <w:p>
      <w:pPr>
        <w:pStyle w:val="5"/>
        <w:numPr>
          <w:ilvl w:val="0"/>
          <w:numId w:val="4"/>
        </w:numPr>
        <w:tabs>
          <w:tab w:val="left" w:pos="360"/>
        </w:tabs>
        <w:ind w:left="0" w:firstLine="0"/>
        <w:rPr>
          <w:rFonts w:ascii="宋体" w:hAnsi="宋体" w:eastAsia="宋体" w:cs="宋体"/>
          <w:color w:val="000000"/>
        </w:rPr>
      </w:pPr>
      <w:r>
        <w:rPr>
          <w:rFonts w:hint="eastAsia" w:ascii="宋体" w:hAnsi="宋体" w:eastAsia="宋体" w:cs="宋体"/>
          <w:color w:val="000000"/>
        </w:rPr>
        <w:t>项目概况</w:t>
      </w:r>
    </w:p>
    <w:p>
      <w:pPr>
        <w:pStyle w:val="6"/>
        <w:ind w:firstLine="420"/>
        <w:rPr>
          <w:rFonts w:ascii="宋体" w:hAnsi="宋体" w:cs="宋体"/>
          <w:color w:val="000000"/>
        </w:rPr>
      </w:pPr>
      <w:r>
        <w:rPr>
          <w:rFonts w:hint="eastAsia" w:ascii="宋体" w:hAnsi="宋体" w:cs="宋体"/>
          <w:color w:val="000000"/>
          <w:szCs w:val="21"/>
        </w:rPr>
        <w:t>本次招标项目为“</w:t>
      </w:r>
      <w:r>
        <w:rPr>
          <w:rFonts w:hint="eastAsia" w:ascii="宋体" w:hAnsi="宋体" w:cs="宋体"/>
          <w:color w:val="000000"/>
        </w:rPr>
        <w:t>长兴县人民医院患者院后管理系统项目”</w:t>
      </w:r>
      <w:r>
        <w:rPr>
          <w:rFonts w:hint="eastAsia" w:ascii="宋体" w:hAnsi="宋体" w:cs="宋体"/>
          <w:color w:val="000000"/>
          <w:szCs w:val="21"/>
        </w:rPr>
        <w:t>。</w:t>
      </w:r>
    </w:p>
    <w:p>
      <w:pPr>
        <w:pStyle w:val="5"/>
        <w:numPr>
          <w:ilvl w:val="0"/>
          <w:numId w:val="4"/>
        </w:numPr>
        <w:tabs>
          <w:tab w:val="left" w:pos="360"/>
        </w:tabs>
        <w:ind w:left="0" w:firstLine="0"/>
        <w:rPr>
          <w:rFonts w:ascii="宋体" w:hAnsi="宋体" w:eastAsia="宋体" w:cs="宋体"/>
          <w:color w:val="000000"/>
        </w:rPr>
      </w:pPr>
      <w:r>
        <w:rPr>
          <w:rFonts w:hint="eastAsia" w:ascii="宋体" w:hAnsi="宋体" w:eastAsia="宋体" w:cs="宋体"/>
          <w:color w:val="000000"/>
        </w:rPr>
        <w:t xml:space="preserve">投标费用 </w:t>
      </w:r>
    </w:p>
    <w:p>
      <w:pPr>
        <w:ind w:firstLine="420" w:firstLineChars="200"/>
        <w:rPr>
          <w:rFonts w:ascii="宋体" w:hAnsi="宋体" w:eastAsia="宋体" w:cs="宋体"/>
          <w:color w:val="000000"/>
        </w:rPr>
      </w:pPr>
      <w:r>
        <w:rPr>
          <w:rFonts w:hint="eastAsia" w:ascii="宋体" w:hAnsi="宋体" w:eastAsia="宋体" w:cs="宋体"/>
          <w:color w:val="000000"/>
        </w:rPr>
        <w:t>标书售价：0元。</w:t>
      </w:r>
    </w:p>
    <w:p>
      <w:pPr>
        <w:ind w:firstLine="420" w:firstLineChars="200"/>
        <w:rPr>
          <w:rFonts w:ascii="宋体" w:hAnsi="宋体" w:eastAsia="宋体" w:cs="宋体"/>
          <w:color w:val="000000"/>
        </w:rPr>
      </w:pPr>
      <w:r>
        <w:rPr>
          <w:rFonts w:hint="eastAsia" w:ascii="宋体" w:hAnsi="宋体" w:eastAsia="宋体" w:cs="宋体"/>
          <w:color w:val="000000"/>
        </w:rPr>
        <w:t xml:space="preserve">投标单位应承担其编制投标文件、递交投标文件及参加竞标过程中所涉及的一切费用。无论投标结果如何,招标人对上述发生的费用不负任何责任。 </w:t>
      </w:r>
    </w:p>
    <w:p>
      <w:pPr>
        <w:pStyle w:val="4"/>
        <w:numPr>
          <w:ilvl w:val="0"/>
          <w:numId w:val="3"/>
        </w:numPr>
        <w:tabs>
          <w:tab w:val="left" w:pos="360"/>
        </w:tabs>
        <w:spacing w:before="120"/>
        <w:ind w:left="0" w:firstLine="0"/>
        <w:rPr>
          <w:rFonts w:ascii="宋体" w:hAnsi="宋体" w:cs="宋体"/>
          <w:color w:val="000000"/>
        </w:rPr>
      </w:pPr>
      <w:bookmarkStart w:id="8" w:name="_Toc20148893"/>
      <w:r>
        <w:rPr>
          <w:rFonts w:hint="eastAsia" w:ascii="宋体" w:hAnsi="宋体" w:cs="宋体"/>
          <w:color w:val="000000"/>
        </w:rPr>
        <w:t>投标文件的密封和递交</w:t>
      </w:r>
      <w:bookmarkEnd w:id="8"/>
    </w:p>
    <w:p>
      <w:pPr>
        <w:pStyle w:val="5"/>
        <w:numPr>
          <w:ilvl w:val="0"/>
          <w:numId w:val="6"/>
        </w:numPr>
        <w:tabs>
          <w:tab w:val="left" w:pos="360"/>
        </w:tabs>
        <w:ind w:left="0" w:firstLine="0"/>
        <w:rPr>
          <w:rFonts w:ascii="宋体" w:hAnsi="宋体" w:eastAsia="宋体" w:cs="宋体"/>
          <w:color w:val="000000"/>
        </w:rPr>
      </w:pPr>
      <w:r>
        <w:rPr>
          <w:rFonts w:hint="eastAsia" w:ascii="宋体" w:hAnsi="宋体" w:eastAsia="宋体" w:cs="宋体"/>
          <w:color w:val="000000"/>
        </w:rPr>
        <w:t xml:space="preserve">投标文件的密封和标志 </w:t>
      </w:r>
    </w:p>
    <w:p>
      <w:pPr>
        <w:widowControl/>
        <w:numPr>
          <w:ilvl w:val="0"/>
          <w:numId w:val="7"/>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投标人应将投标文件正本(一份)和副本(四份)用牛皮纸袋密封,并在封面上明确标明正本和副本字样,一旦正本与副本不符,以正本为准。 </w:t>
      </w:r>
    </w:p>
    <w:p>
      <w:pPr>
        <w:widowControl/>
        <w:numPr>
          <w:ilvl w:val="0"/>
          <w:numId w:val="7"/>
        </w:numPr>
        <w:spacing w:after="120" w:line="400" w:lineRule="exact"/>
        <w:jc w:val="left"/>
        <w:rPr>
          <w:rFonts w:ascii="宋体" w:hAnsi="宋体" w:eastAsia="宋体" w:cs="宋体"/>
          <w:color w:val="000000"/>
        </w:rPr>
      </w:pPr>
      <w:r>
        <w:rPr>
          <w:rFonts w:hint="eastAsia" w:ascii="宋体" w:hAnsi="宋体" w:eastAsia="宋体" w:cs="宋体"/>
          <w:color w:val="000000"/>
        </w:rPr>
        <w:t>密封袋上注明“于</w:t>
      </w:r>
      <w:r>
        <w:rPr>
          <w:rFonts w:hint="eastAsia" w:ascii="宋体" w:hAnsi="宋体" w:eastAsia="宋体" w:cs="宋体"/>
          <w:color w:val="000000"/>
          <w:u w:val="single"/>
          <w:lang w:val="en-US" w:eastAsia="zh-CN"/>
        </w:rPr>
        <w:t>2021年07月23日14:30分</w:t>
      </w:r>
      <w:r>
        <w:rPr>
          <w:rFonts w:hint="eastAsia" w:ascii="宋体" w:hAnsi="宋体" w:eastAsia="宋体" w:cs="宋体"/>
          <w:color w:val="000000"/>
        </w:rPr>
        <w:t xml:space="preserve">之前（指开标日期及时间）不准启封”的字样，并加盖投标人公章。。 </w:t>
      </w:r>
    </w:p>
    <w:p>
      <w:pPr>
        <w:widowControl/>
        <w:numPr>
          <w:ilvl w:val="0"/>
          <w:numId w:val="7"/>
        </w:numPr>
        <w:spacing w:after="120" w:line="400" w:lineRule="exact"/>
        <w:jc w:val="left"/>
        <w:rPr>
          <w:rFonts w:ascii="宋体" w:hAnsi="宋体" w:eastAsia="宋体" w:cs="宋体"/>
          <w:color w:val="000000"/>
        </w:rPr>
      </w:pPr>
      <w:r>
        <w:rPr>
          <w:rFonts w:hint="eastAsia" w:ascii="宋体" w:hAnsi="宋体" w:eastAsia="宋体" w:cs="宋体"/>
          <w:color w:val="000000"/>
        </w:rPr>
        <w:t>如果未按上述规定进行密封和标记,招标人对投标文件的误投或提前拆封不负责任。</w:t>
      </w:r>
    </w:p>
    <w:p>
      <w:pPr>
        <w:widowControl/>
        <w:numPr>
          <w:ilvl w:val="0"/>
          <w:numId w:val="7"/>
        </w:numPr>
        <w:spacing w:after="120" w:line="400" w:lineRule="exact"/>
        <w:jc w:val="left"/>
        <w:rPr>
          <w:rFonts w:ascii="宋体" w:hAnsi="宋体" w:eastAsia="宋体" w:cs="宋体"/>
          <w:color w:val="000000"/>
        </w:rPr>
      </w:pPr>
      <w:r>
        <w:rPr>
          <w:rFonts w:hint="eastAsia" w:ascii="宋体" w:hAnsi="宋体" w:eastAsia="宋体" w:cs="宋体"/>
          <w:color w:val="000000"/>
        </w:rPr>
        <w:t>如果招标人认定任何一家投标人有违反上述规定的行为, 招标人有权决定取消其投标资格。</w:t>
      </w:r>
    </w:p>
    <w:p>
      <w:pPr>
        <w:pStyle w:val="5"/>
        <w:numPr>
          <w:ilvl w:val="0"/>
          <w:numId w:val="6"/>
        </w:numPr>
        <w:tabs>
          <w:tab w:val="left" w:pos="360"/>
        </w:tabs>
        <w:ind w:left="0" w:firstLine="0"/>
        <w:rPr>
          <w:rFonts w:ascii="宋体" w:hAnsi="宋体" w:eastAsia="宋体" w:cs="宋体"/>
          <w:color w:val="000000"/>
        </w:rPr>
      </w:pPr>
      <w:r>
        <w:rPr>
          <w:rFonts w:hint="eastAsia" w:ascii="宋体" w:hAnsi="宋体" w:eastAsia="宋体" w:cs="宋体"/>
          <w:color w:val="000000"/>
        </w:rPr>
        <w:t>投标文件的递交</w:t>
      </w:r>
    </w:p>
    <w:p>
      <w:pPr>
        <w:numPr>
          <w:ilvl w:val="0"/>
          <w:numId w:val="8"/>
        </w:numPr>
        <w:tabs>
          <w:tab w:val="left" w:pos="426"/>
          <w:tab w:val="clear" w:pos="815"/>
        </w:tabs>
        <w:spacing w:line="360" w:lineRule="auto"/>
        <w:ind w:left="426"/>
        <w:rPr>
          <w:rFonts w:ascii="宋体" w:hAnsi="宋体" w:eastAsia="宋体" w:cs="宋体"/>
        </w:rPr>
      </w:pPr>
      <w:r>
        <w:rPr>
          <w:rFonts w:hint="eastAsia" w:ascii="宋体" w:hAnsi="宋体" w:eastAsia="宋体" w:cs="宋体"/>
        </w:rPr>
        <w:t>递交投标书前按招标文件要求盖章密封。</w:t>
      </w:r>
    </w:p>
    <w:p>
      <w:pPr>
        <w:numPr>
          <w:ilvl w:val="0"/>
          <w:numId w:val="8"/>
        </w:numPr>
        <w:tabs>
          <w:tab w:val="left" w:pos="426"/>
          <w:tab w:val="clear" w:pos="815"/>
        </w:tabs>
        <w:spacing w:line="360" w:lineRule="auto"/>
        <w:ind w:left="426"/>
        <w:rPr>
          <w:rFonts w:ascii="宋体" w:hAnsi="宋体" w:eastAsia="宋体" w:cs="宋体"/>
        </w:rPr>
      </w:pPr>
      <w:r>
        <w:rPr>
          <w:rFonts w:hint="eastAsia" w:ascii="宋体" w:hAnsi="宋体" w:eastAsia="宋体" w:cs="宋体"/>
        </w:rPr>
        <w:t>投标截止日期：开标时间前。</w:t>
      </w:r>
    </w:p>
    <w:p>
      <w:pPr>
        <w:pStyle w:val="4"/>
        <w:numPr>
          <w:ilvl w:val="0"/>
          <w:numId w:val="3"/>
        </w:numPr>
        <w:tabs>
          <w:tab w:val="left" w:pos="360"/>
        </w:tabs>
        <w:spacing w:before="120"/>
        <w:ind w:left="0" w:firstLine="0"/>
        <w:rPr>
          <w:rFonts w:ascii="宋体" w:hAnsi="宋体" w:cs="宋体"/>
          <w:color w:val="000000"/>
        </w:rPr>
      </w:pPr>
      <w:bookmarkStart w:id="9" w:name="_Toc20148894"/>
      <w:r>
        <w:rPr>
          <w:rFonts w:hint="eastAsia" w:ascii="宋体" w:hAnsi="宋体" w:cs="宋体"/>
          <w:color w:val="000000"/>
        </w:rPr>
        <w:t>评标标准和方法</w:t>
      </w:r>
      <w:bookmarkEnd w:id="9"/>
    </w:p>
    <w:p>
      <w:pPr>
        <w:pStyle w:val="5"/>
        <w:numPr>
          <w:ilvl w:val="0"/>
          <w:numId w:val="9"/>
        </w:numPr>
        <w:tabs>
          <w:tab w:val="left" w:pos="360"/>
        </w:tabs>
        <w:ind w:left="0" w:firstLine="0"/>
        <w:rPr>
          <w:rFonts w:ascii="宋体" w:hAnsi="宋体" w:eastAsia="宋体" w:cs="宋体"/>
          <w:color w:val="000000"/>
        </w:rPr>
      </w:pPr>
      <w:r>
        <w:rPr>
          <w:rFonts w:hint="eastAsia" w:ascii="宋体" w:hAnsi="宋体" w:eastAsia="宋体" w:cs="宋体"/>
          <w:color w:val="000000"/>
        </w:rPr>
        <w:t xml:space="preserve">开标 </w:t>
      </w:r>
    </w:p>
    <w:p>
      <w:pPr>
        <w:widowControl/>
        <w:numPr>
          <w:ilvl w:val="0"/>
          <w:numId w:val="10"/>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投标人的法定代表人或法定代表人的授权委托人应按照招标文件中规定的时间和地点应标。 </w:t>
      </w:r>
    </w:p>
    <w:p>
      <w:pPr>
        <w:pStyle w:val="35"/>
        <w:numPr>
          <w:ilvl w:val="0"/>
          <w:numId w:val="10"/>
        </w:numPr>
        <w:rPr>
          <w:rFonts w:ascii="宋体" w:hAnsi="宋体" w:cs="宋体"/>
          <w:color w:val="000000"/>
        </w:rPr>
      </w:pPr>
      <w:r>
        <w:rPr>
          <w:rFonts w:hint="eastAsia" w:ascii="宋体" w:hAnsi="宋体" w:cs="宋体"/>
          <w:color w:val="000000"/>
        </w:rPr>
        <w:t>投标人的法定代表人或法定代表人的授权委托人均应签名以示出席。</w:t>
      </w:r>
    </w:p>
    <w:p>
      <w:pPr>
        <w:widowControl/>
        <w:numPr>
          <w:ilvl w:val="0"/>
          <w:numId w:val="10"/>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投标文件属下列情况之一的,招标人有权将其作废标处理: </w:t>
      </w:r>
    </w:p>
    <w:p>
      <w:pPr>
        <w:widowControl/>
        <w:numPr>
          <w:ilvl w:val="1"/>
          <w:numId w:val="11"/>
        </w:numPr>
        <w:spacing w:after="120" w:line="400" w:lineRule="exact"/>
        <w:jc w:val="left"/>
        <w:rPr>
          <w:rFonts w:ascii="宋体" w:hAnsi="宋体" w:eastAsia="宋体" w:cs="宋体"/>
          <w:color w:val="000000"/>
        </w:rPr>
      </w:pPr>
      <w:r>
        <w:rPr>
          <w:rFonts w:hint="eastAsia" w:ascii="宋体" w:hAnsi="宋体" w:eastAsia="宋体" w:cs="宋体"/>
          <w:color w:val="000000"/>
        </w:rPr>
        <w:t>投标文件逾期送达的。</w:t>
      </w:r>
    </w:p>
    <w:p>
      <w:pPr>
        <w:widowControl/>
        <w:numPr>
          <w:ilvl w:val="1"/>
          <w:numId w:val="11"/>
        </w:numPr>
        <w:spacing w:after="120" w:line="400" w:lineRule="exact"/>
        <w:jc w:val="left"/>
        <w:rPr>
          <w:rFonts w:ascii="宋体" w:hAnsi="宋体" w:eastAsia="宋体" w:cs="宋体"/>
          <w:color w:val="000000"/>
        </w:rPr>
      </w:pPr>
      <w:r>
        <w:rPr>
          <w:rFonts w:hint="eastAsia" w:ascii="宋体" w:hAnsi="宋体" w:eastAsia="宋体" w:cs="宋体"/>
          <w:color w:val="000000"/>
        </w:rPr>
        <w:t>投标书及投标报价汇总表未盖单位公章、法定代表人或授权人未签字或签章的。</w:t>
      </w:r>
    </w:p>
    <w:p>
      <w:pPr>
        <w:widowControl/>
        <w:numPr>
          <w:ilvl w:val="1"/>
          <w:numId w:val="11"/>
        </w:numPr>
        <w:spacing w:after="120" w:line="400" w:lineRule="exact"/>
        <w:jc w:val="left"/>
        <w:rPr>
          <w:rFonts w:ascii="宋体" w:hAnsi="宋体" w:eastAsia="宋体" w:cs="宋体"/>
          <w:color w:val="000000"/>
        </w:rPr>
      </w:pPr>
      <w:r>
        <w:rPr>
          <w:rFonts w:hint="eastAsia" w:ascii="宋体" w:hAnsi="宋体" w:eastAsia="宋体" w:cs="宋体"/>
          <w:color w:val="000000"/>
        </w:rPr>
        <w:t>投标人针对同一投标对象递交两份或多份内容不同的投标书,未书面声明哪一个有效的,或不填写投标报价的。</w:t>
      </w:r>
    </w:p>
    <w:p>
      <w:pPr>
        <w:widowControl/>
        <w:numPr>
          <w:ilvl w:val="1"/>
          <w:numId w:val="11"/>
        </w:numPr>
        <w:spacing w:after="120" w:line="400" w:lineRule="exact"/>
        <w:jc w:val="left"/>
        <w:rPr>
          <w:rFonts w:ascii="宋体" w:hAnsi="宋体" w:eastAsia="宋体" w:cs="宋体"/>
          <w:color w:val="000000"/>
        </w:rPr>
      </w:pPr>
      <w:r>
        <w:rPr>
          <w:rFonts w:hint="eastAsia" w:ascii="宋体" w:hAnsi="宋体" w:eastAsia="宋体" w:cs="宋体"/>
          <w:color w:val="000000"/>
        </w:rPr>
        <w:t>违反招标纪律的。</w:t>
      </w:r>
    </w:p>
    <w:p>
      <w:pPr>
        <w:widowControl/>
        <w:numPr>
          <w:ilvl w:val="1"/>
          <w:numId w:val="11"/>
        </w:numPr>
        <w:spacing w:after="120" w:line="400" w:lineRule="exact"/>
        <w:jc w:val="left"/>
        <w:rPr>
          <w:rFonts w:ascii="宋体" w:hAnsi="宋体" w:eastAsia="宋体" w:cs="宋体"/>
          <w:color w:val="000000"/>
        </w:rPr>
      </w:pPr>
      <w:r>
        <w:rPr>
          <w:rFonts w:hint="eastAsia" w:ascii="宋体" w:hAnsi="宋体" w:eastAsia="宋体" w:cs="宋体"/>
          <w:color w:val="000000"/>
        </w:rPr>
        <w:t>违反招标文件有关规定的。</w:t>
      </w:r>
    </w:p>
    <w:p>
      <w:pPr>
        <w:widowControl/>
        <w:numPr>
          <w:ilvl w:val="1"/>
          <w:numId w:val="11"/>
        </w:numPr>
        <w:spacing w:after="120" w:line="400" w:lineRule="exact"/>
        <w:jc w:val="left"/>
        <w:rPr>
          <w:rFonts w:ascii="宋体" w:hAnsi="宋体" w:eastAsia="宋体" w:cs="宋体"/>
          <w:color w:val="000000"/>
        </w:rPr>
      </w:pPr>
      <w:r>
        <w:rPr>
          <w:rFonts w:hint="eastAsia" w:ascii="宋体" w:hAnsi="宋体" w:eastAsia="宋体" w:cs="宋体"/>
          <w:color w:val="000000"/>
        </w:rPr>
        <w:t>违反招标文件规定泄露投标人信息的。</w:t>
      </w:r>
    </w:p>
    <w:p>
      <w:pPr>
        <w:pStyle w:val="6"/>
        <w:numPr>
          <w:ilvl w:val="1"/>
          <w:numId w:val="11"/>
        </w:numPr>
        <w:rPr>
          <w:rFonts w:ascii="宋体" w:hAnsi="宋体" w:cs="宋体"/>
          <w:color w:val="000000"/>
        </w:rPr>
      </w:pPr>
      <w:r>
        <w:rPr>
          <w:rFonts w:hint="eastAsia" w:ascii="宋体" w:hAnsi="宋体" w:cs="宋体"/>
          <w:color w:val="000000"/>
        </w:rPr>
        <w:t>经证实，有其他弄虚作假或影响招投标公正性行为的。</w:t>
      </w:r>
    </w:p>
    <w:p>
      <w:pPr>
        <w:pStyle w:val="6"/>
        <w:numPr>
          <w:ilvl w:val="0"/>
          <w:numId w:val="10"/>
        </w:numPr>
        <w:rPr>
          <w:rFonts w:ascii="宋体" w:hAnsi="宋体" w:cs="宋体"/>
          <w:color w:val="000000"/>
        </w:rPr>
      </w:pPr>
      <w:r>
        <w:rPr>
          <w:rFonts w:hint="eastAsia" w:ascii="宋体" w:hAnsi="宋体" w:cs="宋体"/>
          <w:color w:val="000000"/>
        </w:rPr>
        <w:t>投标人应向评标组进行投标人情况、方案特点及技术优势和商务方面的说明，并对投标书中的内容做最后的承诺或修订（承诺或修订需提交书面材料），并接受评标组的询问。</w:t>
      </w:r>
    </w:p>
    <w:p>
      <w:pPr>
        <w:pStyle w:val="5"/>
        <w:numPr>
          <w:ilvl w:val="0"/>
          <w:numId w:val="9"/>
        </w:numPr>
        <w:tabs>
          <w:tab w:val="left" w:pos="360"/>
        </w:tabs>
        <w:ind w:left="0" w:firstLine="0"/>
        <w:rPr>
          <w:rFonts w:ascii="宋体" w:hAnsi="宋体" w:eastAsia="宋体" w:cs="宋体"/>
          <w:color w:val="000000"/>
        </w:rPr>
      </w:pPr>
      <w:bookmarkStart w:id="10" w:name="_Toc75832032"/>
      <w:r>
        <w:rPr>
          <w:rFonts w:hint="eastAsia" w:ascii="宋体" w:hAnsi="宋体" w:eastAsia="宋体" w:cs="宋体"/>
          <w:color w:val="000000"/>
        </w:rPr>
        <w:t>评标与定标</w:t>
      </w:r>
      <w:bookmarkEnd w:id="10"/>
      <w:r>
        <w:rPr>
          <w:rFonts w:hint="eastAsia" w:ascii="宋体" w:hAnsi="宋体" w:eastAsia="宋体" w:cs="宋体"/>
          <w:color w:val="000000"/>
        </w:rPr>
        <w:t xml:space="preserve"> </w:t>
      </w:r>
    </w:p>
    <w:p>
      <w:pPr>
        <w:widowControl/>
        <w:numPr>
          <w:ilvl w:val="0"/>
          <w:numId w:val="12"/>
        </w:numPr>
        <w:spacing w:line="400" w:lineRule="exact"/>
        <w:jc w:val="left"/>
        <w:rPr>
          <w:rFonts w:ascii="宋体" w:hAnsi="宋体" w:eastAsia="宋体" w:cs="宋体"/>
        </w:rPr>
      </w:pPr>
      <w:r>
        <w:rPr>
          <w:rFonts w:hint="eastAsia" w:ascii="宋体" w:hAnsi="宋体" w:eastAsia="宋体" w:cs="宋体"/>
        </w:rPr>
        <w:t>评标原则：坚持“公开、公平、公正”的原则，择优定标。</w:t>
      </w:r>
    </w:p>
    <w:p>
      <w:pPr>
        <w:widowControl/>
        <w:numPr>
          <w:ilvl w:val="0"/>
          <w:numId w:val="12"/>
        </w:numPr>
        <w:spacing w:line="400" w:lineRule="exact"/>
        <w:jc w:val="left"/>
        <w:rPr>
          <w:rFonts w:ascii="宋体" w:hAnsi="宋体" w:eastAsia="宋体" w:cs="宋体"/>
        </w:rPr>
      </w:pPr>
      <w:r>
        <w:rPr>
          <w:rFonts w:hint="eastAsia" w:ascii="宋体" w:hAnsi="宋体" w:eastAsia="宋体" w:cs="宋体"/>
        </w:rPr>
        <w:t>评标严格按照招标文件的要求和条件进行，同时将重点考虑以下因素：</w:t>
      </w:r>
    </w:p>
    <w:p>
      <w:pPr>
        <w:pStyle w:val="37"/>
        <w:numPr>
          <w:ilvl w:val="0"/>
          <w:numId w:val="0"/>
        </w:numPr>
        <w:spacing w:before="0" w:beforeLines="0" w:after="0" w:afterLines="0" w:line="420" w:lineRule="exact"/>
        <w:ind w:firstLine="360" w:firstLineChars="150"/>
        <w:rPr>
          <w:rFonts w:ascii="宋体" w:hAnsi="宋体" w:eastAsia="宋体" w:cs="宋体"/>
          <w:szCs w:val="20"/>
        </w:rPr>
      </w:pPr>
      <w:r>
        <w:rPr>
          <w:rFonts w:hint="eastAsia" w:ascii="宋体" w:hAnsi="宋体" w:eastAsia="宋体" w:cs="宋体"/>
          <w:szCs w:val="20"/>
        </w:rPr>
        <w:t>①招标文件中需求的响应和满足程度；</w:t>
      </w:r>
    </w:p>
    <w:p>
      <w:pPr>
        <w:pStyle w:val="37"/>
        <w:numPr>
          <w:ilvl w:val="0"/>
          <w:numId w:val="0"/>
        </w:numPr>
        <w:spacing w:before="0" w:beforeLines="0" w:after="0" w:afterLines="0" w:line="420" w:lineRule="exact"/>
        <w:ind w:firstLine="360" w:firstLineChars="150"/>
        <w:rPr>
          <w:rFonts w:ascii="宋体" w:hAnsi="宋体" w:eastAsia="宋体" w:cs="宋体"/>
          <w:szCs w:val="20"/>
        </w:rPr>
      </w:pPr>
      <w:r>
        <w:rPr>
          <w:rFonts w:hint="eastAsia" w:ascii="宋体" w:hAnsi="宋体" w:eastAsia="宋体" w:cs="宋体"/>
          <w:szCs w:val="20"/>
        </w:rPr>
        <w:t>②投标方案的内容和质量；</w:t>
      </w:r>
    </w:p>
    <w:p>
      <w:pPr>
        <w:pStyle w:val="37"/>
        <w:numPr>
          <w:ilvl w:val="0"/>
          <w:numId w:val="0"/>
        </w:numPr>
        <w:spacing w:before="0" w:beforeLines="0" w:after="0" w:afterLines="0" w:line="420" w:lineRule="exact"/>
        <w:ind w:firstLine="360" w:firstLineChars="150"/>
        <w:rPr>
          <w:rFonts w:ascii="宋体" w:hAnsi="宋体" w:eastAsia="宋体" w:cs="宋体"/>
          <w:szCs w:val="20"/>
        </w:rPr>
      </w:pPr>
      <w:r>
        <w:rPr>
          <w:rFonts w:hint="eastAsia" w:ascii="宋体" w:hAnsi="宋体" w:eastAsia="宋体" w:cs="宋体"/>
          <w:szCs w:val="20"/>
        </w:rPr>
        <w:t>③投标方的综合实力、业绩和信誉；</w:t>
      </w:r>
    </w:p>
    <w:p>
      <w:pPr>
        <w:pStyle w:val="37"/>
        <w:numPr>
          <w:ilvl w:val="0"/>
          <w:numId w:val="0"/>
        </w:numPr>
        <w:spacing w:before="0" w:beforeLines="0" w:after="0" w:afterLines="0" w:line="420" w:lineRule="exact"/>
        <w:ind w:firstLine="360" w:firstLineChars="150"/>
        <w:rPr>
          <w:rFonts w:ascii="宋体" w:hAnsi="宋体" w:eastAsia="宋体" w:cs="宋体"/>
          <w:szCs w:val="20"/>
        </w:rPr>
      </w:pPr>
      <w:r>
        <w:rPr>
          <w:rFonts w:hint="eastAsia" w:ascii="宋体" w:hAnsi="宋体" w:eastAsia="宋体" w:cs="宋体"/>
          <w:szCs w:val="20"/>
        </w:rPr>
        <w:t>④投标方行业应用案例；</w:t>
      </w:r>
    </w:p>
    <w:p>
      <w:pPr>
        <w:pStyle w:val="37"/>
        <w:numPr>
          <w:ilvl w:val="0"/>
          <w:numId w:val="0"/>
        </w:numPr>
        <w:spacing w:before="0" w:beforeLines="0" w:after="0" w:afterLines="0" w:line="420" w:lineRule="exact"/>
        <w:ind w:firstLine="360" w:firstLineChars="150"/>
        <w:rPr>
          <w:rFonts w:ascii="宋体" w:hAnsi="宋体" w:eastAsia="宋体" w:cs="宋体"/>
          <w:szCs w:val="20"/>
        </w:rPr>
      </w:pPr>
      <w:r>
        <w:rPr>
          <w:rFonts w:hint="eastAsia" w:ascii="宋体" w:hAnsi="宋体" w:eastAsia="宋体" w:cs="宋体"/>
          <w:szCs w:val="20"/>
        </w:rPr>
        <w:t>⑤投标方投标方案的合理性、可实现性和可操作性；</w:t>
      </w:r>
    </w:p>
    <w:p>
      <w:pPr>
        <w:pStyle w:val="37"/>
        <w:numPr>
          <w:ilvl w:val="0"/>
          <w:numId w:val="0"/>
        </w:numPr>
        <w:spacing w:before="0" w:beforeLines="0" w:after="0" w:afterLines="0" w:line="420" w:lineRule="exact"/>
        <w:ind w:firstLine="360" w:firstLineChars="150"/>
        <w:rPr>
          <w:rFonts w:ascii="宋体" w:hAnsi="宋体" w:eastAsia="宋体" w:cs="宋体"/>
          <w:szCs w:val="20"/>
        </w:rPr>
      </w:pPr>
      <w:r>
        <w:rPr>
          <w:rFonts w:hint="eastAsia" w:ascii="宋体" w:hAnsi="宋体" w:eastAsia="宋体" w:cs="宋体"/>
          <w:szCs w:val="20"/>
        </w:rPr>
        <w:t>⑥投标方提供技术支持和服务的承诺；</w:t>
      </w:r>
    </w:p>
    <w:p>
      <w:pPr>
        <w:pStyle w:val="37"/>
        <w:numPr>
          <w:ilvl w:val="0"/>
          <w:numId w:val="0"/>
        </w:numPr>
        <w:spacing w:before="0" w:beforeLines="0" w:after="0" w:afterLines="0" w:line="420" w:lineRule="exact"/>
        <w:ind w:firstLine="360" w:firstLineChars="150"/>
        <w:rPr>
          <w:rFonts w:ascii="宋体" w:hAnsi="宋体" w:eastAsia="宋体" w:cs="宋体"/>
          <w:szCs w:val="20"/>
        </w:rPr>
      </w:pPr>
      <w:r>
        <w:rPr>
          <w:rFonts w:hint="eastAsia" w:ascii="宋体" w:hAnsi="宋体" w:eastAsia="宋体" w:cs="宋体"/>
          <w:szCs w:val="20"/>
        </w:rPr>
        <w:t>⑦投标方的项目技术支持和服务能力。</w:t>
      </w:r>
    </w:p>
    <w:p>
      <w:pPr>
        <w:widowControl/>
        <w:numPr>
          <w:ilvl w:val="0"/>
          <w:numId w:val="12"/>
        </w:numPr>
        <w:spacing w:after="120" w:line="400" w:lineRule="exact"/>
        <w:jc w:val="left"/>
        <w:rPr>
          <w:rFonts w:ascii="宋体" w:hAnsi="宋体" w:eastAsia="宋体" w:cs="宋体"/>
          <w:color w:val="000000"/>
        </w:rPr>
      </w:pPr>
      <w:r>
        <w:rPr>
          <w:rFonts w:hint="eastAsia" w:ascii="宋体" w:hAnsi="宋体" w:eastAsia="宋体" w:cs="宋体"/>
          <w:color w:val="000000"/>
        </w:rPr>
        <w:t>投标人若有未实质性响应招标要求的，其投标文件将按废标处理，不对其进行评审。如果评标时发现投标人投标书中所报资料为虚假资料，招标人将按废标对其投标书进行处理；如果在定标后发现中标人投标书中所报资料为虚假资料，招标人将取消其中标资格，另选中标人。</w:t>
      </w:r>
    </w:p>
    <w:p>
      <w:pPr>
        <w:pStyle w:val="5"/>
        <w:numPr>
          <w:ilvl w:val="0"/>
          <w:numId w:val="9"/>
        </w:numPr>
        <w:tabs>
          <w:tab w:val="left" w:pos="360"/>
        </w:tabs>
        <w:ind w:left="0" w:firstLine="0"/>
        <w:rPr>
          <w:rFonts w:ascii="宋体" w:hAnsi="宋体" w:eastAsia="宋体" w:cs="宋体"/>
          <w:color w:val="000000"/>
        </w:rPr>
      </w:pPr>
      <w:r>
        <w:rPr>
          <w:rFonts w:hint="eastAsia" w:ascii="宋体" w:hAnsi="宋体" w:eastAsia="宋体" w:cs="宋体"/>
          <w:color w:val="000000"/>
        </w:rPr>
        <w:t>投标文件的澄清</w:t>
      </w:r>
    </w:p>
    <w:p>
      <w:pPr>
        <w:widowControl/>
        <w:numPr>
          <w:ilvl w:val="0"/>
          <w:numId w:val="13"/>
        </w:numPr>
        <w:spacing w:after="120" w:line="400" w:lineRule="exact"/>
        <w:jc w:val="left"/>
        <w:rPr>
          <w:rFonts w:ascii="宋体" w:hAnsi="宋体" w:eastAsia="宋体" w:cs="宋体"/>
          <w:color w:val="000000"/>
        </w:rPr>
      </w:pPr>
      <w:r>
        <w:rPr>
          <w:rFonts w:hint="eastAsia" w:ascii="宋体" w:hAnsi="宋体" w:eastAsia="宋体" w:cs="宋体"/>
          <w:color w:val="000000"/>
        </w:rPr>
        <w:t>在评标过程中,评标委员会可以根据需要要求投标人对投标文件中的有关问题进行澄清或提供补充说明及有关资料,投标人应作出书面答复。但投标人的书面答复不得对投标文件的内容作出实质性的修改。</w:t>
      </w:r>
    </w:p>
    <w:p>
      <w:pPr>
        <w:widowControl/>
        <w:numPr>
          <w:ilvl w:val="0"/>
          <w:numId w:val="13"/>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投标人所作的书面答复必须有法人或其授权人的签字或印鉴,且该书面答复将被视为投标文件的组成部分。 </w:t>
      </w:r>
    </w:p>
    <w:p>
      <w:pPr>
        <w:pStyle w:val="5"/>
        <w:numPr>
          <w:ilvl w:val="0"/>
          <w:numId w:val="9"/>
        </w:numPr>
        <w:tabs>
          <w:tab w:val="left" w:pos="360"/>
        </w:tabs>
        <w:ind w:left="0" w:firstLine="0"/>
        <w:rPr>
          <w:rFonts w:ascii="宋体" w:hAnsi="宋体" w:eastAsia="宋体" w:cs="宋体"/>
          <w:color w:val="000000"/>
        </w:rPr>
      </w:pPr>
      <w:r>
        <w:rPr>
          <w:rFonts w:hint="eastAsia" w:ascii="宋体" w:hAnsi="宋体" w:eastAsia="宋体" w:cs="宋体"/>
          <w:color w:val="000000"/>
        </w:rPr>
        <w:t xml:space="preserve">投标文件的差错修正 </w:t>
      </w:r>
    </w:p>
    <w:p>
      <w:pPr>
        <w:rPr>
          <w:rFonts w:ascii="宋体" w:hAnsi="宋体" w:eastAsia="宋体" w:cs="宋体"/>
          <w:color w:val="000000"/>
        </w:rPr>
      </w:pPr>
      <w:r>
        <w:rPr>
          <w:rFonts w:hint="eastAsia" w:ascii="宋体" w:hAnsi="宋体" w:eastAsia="宋体" w:cs="宋体"/>
          <w:color w:val="000000"/>
        </w:rPr>
        <w:t xml:space="preserve">对于符合招标要求的投标文件,若其报价有算术上的差错,将按以下原则修正: </w:t>
      </w:r>
    </w:p>
    <w:p>
      <w:pPr>
        <w:widowControl/>
        <w:numPr>
          <w:ilvl w:val="0"/>
          <w:numId w:val="14"/>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当以数字表示的金额与文字表示的金额有差异时,以文字表示的金额为准。 </w:t>
      </w:r>
    </w:p>
    <w:p>
      <w:pPr>
        <w:widowControl/>
        <w:numPr>
          <w:ilvl w:val="0"/>
          <w:numId w:val="14"/>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当单价与数量相乘不等于和价时，总价应以标出的和价为准，重新计算单价。 </w:t>
      </w:r>
    </w:p>
    <w:p>
      <w:pPr>
        <w:widowControl/>
        <w:numPr>
          <w:ilvl w:val="0"/>
          <w:numId w:val="14"/>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当各细目的和价累计不等于总价时,应按总价重新计算各细目的和价。 </w:t>
      </w:r>
    </w:p>
    <w:p>
      <w:pPr>
        <w:widowControl/>
        <w:numPr>
          <w:ilvl w:val="0"/>
          <w:numId w:val="14"/>
        </w:numPr>
        <w:spacing w:after="120" w:line="400" w:lineRule="exact"/>
        <w:jc w:val="left"/>
        <w:rPr>
          <w:rFonts w:ascii="宋体" w:hAnsi="宋体" w:eastAsia="宋体" w:cs="宋体"/>
          <w:color w:val="000000"/>
        </w:rPr>
      </w:pPr>
      <w:r>
        <w:rPr>
          <w:rFonts w:hint="eastAsia" w:ascii="宋体" w:hAnsi="宋体" w:eastAsia="宋体" w:cs="宋体"/>
          <w:color w:val="000000"/>
        </w:rPr>
        <w:t xml:space="preserve">按以上原则对差错的修正,应取得投标人的同意,并确认修正后的投标价。如果投标人拒绝确认，则其投标文件不予评审。 </w:t>
      </w:r>
    </w:p>
    <w:p>
      <w:pPr>
        <w:pStyle w:val="5"/>
        <w:numPr>
          <w:ilvl w:val="0"/>
          <w:numId w:val="9"/>
        </w:numPr>
        <w:tabs>
          <w:tab w:val="left" w:pos="360"/>
        </w:tabs>
        <w:ind w:left="0" w:firstLine="0"/>
        <w:rPr>
          <w:rFonts w:ascii="宋体" w:hAnsi="宋体" w:eastAsia="宋体" w:cs="宋体"/>
          <w:color w:val="000000"/>
        </w:rPr>
      </w:pPr>
      <w:r>
        <w:rPr>
          <w:rFonts w:hint="eastAsia" w:ascii="宋体" w:hAnsi="宋体" w:eastAsia="宋体" w:cs="宋体"/>
          <w:color w:val="000000"/>
        </w:rPr>
        <w:t>其它</w:t>
      </w:r>
    </w:p>
    <w:p>
      <w:pPr>
        <w:widowControl/>
        <w:numPr>
          <w:ilvl w:val="0"/>
          <w:numId w:val="15"/>
        </w:numPr>
        <w:spacing w:line="400" w:lineRule="exact"/>
        <w:jc w:val="left"/>
        <w:rPr>
          <w:rFonts w:ascii="宋体" w:hAnsi="宋体" w:eastAsia="宋体" w:cs="宋体"/>
          <w:color w:val="000000"/>
        </w:rPr>
      </w:pPr>
      <w:r>
        <w:rPr>
          <w:rFonts w:hint="eastAsia" w:ascii="宋体" w:hAnsi="宋体" w:eastAsia="宋体" w:cs="宋体"/>
          <w:color w:val="000000"/>
        </w:rPr>
        <w:t>投标人应指定一名投标工作联系人，在领取招标文件时应将姓名、联系电话、 E－mail及传真号报招标人。招标期间，应确保招标人与投标人之间必要工作联系的及时性和有效性。</w:t>
      </w:r>
    </w:p>
    <w:p>
      <w:pPr>
        <w:widowControl/>
        <w:numPr>
          <w:ilvl w:val="0"/>
          <w:numId w:val="15"/>
        </w:numPr>
        <w:spacing w:line="400" w:lineRule="exact"/>
        <w:jc w:val="left"/>
        <w:rPr>
          <w:rFonts w:ascii="宋体" w:hAnsi="宋体" w:eastAsia="宋体" w:cs="宋体"/>
          <w:color w:val="000000"/>
        </w:rPr>
      </w:pPr>
      <w:r>
        <w:rPr>
          <w:rFonts w:hint="eastAsia" w:ascii="宋体" w:hAnsi="宋体" w:eastAsia="宋体" w:cs="宋体"/>
          <w:color w:val="000000"/>
        </w:rPr>
        <w:t>通过招标，招标人旨在选择确保本工程质量、售后服务前提下的合理低报价的投标人。在授予合同前的任何时候，招标人有权接受或根据上述要求拒绝任何投标且无须作任何解释。</w:t>
      </w:r>
    </w:p>
    <w:p>
      <w:pPr>
        <w:widowControl/>
        <w:numPr>
          <w:ilvl w:val="0"/>
          <w:numId w:val="15"/>
        </w:numPr>
        <w:spacing w:line="400" w:lineRule="exact"/>
        <w:jc w:val="left"/>
        <w:rPr>
          <w:rFonts w:ascii="宋体" w:hAnsi="宋体" w:eastAsia="宋体" w:cs="宋体"/>
          <w:color w:val="000000"/>
        </w:rPr>
      </w:pPr>
      <w:r>
        <w:rPr>
          <w:rFonts w:hint="eastAsia" w:ascii="宋体" w:hAnsi="宋体" w:eastAsia="宋体" w:cs="宋体"/>
          <w:color w:val="000000"/>
        </w:rPr>
        <w:t>招标人无责任和义务对未中标单位解释未中标原因。</w:t>
      </w:r>
    </w:p>
    <w:p>
      <w:pPr>
        <w:widowControl/>
        <w:numPr>
          <w:ilvl w:val="0"/>
          <w:numId w:val="15"/>
        </w:numPr>
        <w:spacing w:line="400" w:lineRule="exact"/>
        <w:jc w:val="left"/>
        <w:rPr>
          <w:rFonts w:ascii="宋体" w:hAnsi="宋体" w:eastAsia="宋体" w:cs="宋体"/>
          <w:color w:val="000000"/>
        </w:rPr>
      </w:pPr>
      <w:bookmarkStart w:id="11" w:name="_Hlt509131543"/>
      <w:bookmarkEnd w:id="11"/>
      <w:r>
        <w:rPr>
          <w:rFonts w:hint="eastAsia" w:ascii="宋体" w:hAnsi="宋体" w:eastAsia="宋体" w:cs="宋体"/>
          <w:color w:val="000000"/>
        </w:rPr>
        <w:t>招标工作遵照公开、公平、公正和诚实信用的原则。</w:t>
      </w:r>
    </w:p>
    <w:p>
      <w:pPr>
        <w:widowControl/>
        <w:numPr>
          <w:ilvl w:val="0"/>
          <w:numId w:val="15"/>
        </w:numPr>
        <w:spacing w:line="400" w:lineRule="exact"/>
        <w:jc w:val="left"/>
        <w:rPr>
          <w:rFonts w:ascii="宋体" w:hAnsi="宋体" w:eastAsia="宋体" w:cs="宋体"/>
          <w:color w:val="000000"/>
        </w:rPr>
      </w:pPr>
      <w:r>
        <w:rPr>
          <w:rFonts w:hint="eastAsia" w:ascii="宋体" w:hAnsi="宋体" w:eastAsia="宋体" w:cs="宋体"/>
          <w:color w:val="000000"/>
        </w:rPr>
        <w:t>投标人不得串通作弊，不得哄抬标价，一经查出将丧失投标资格。</w:t>
      </w:r>
    </w:p>
    <w:p>
      <w:pPr>
        <w:widowControl/>
        <w:numPr>
          <w:ilvl w:val="0"/>
          <w:numId w:val="15"/>
        </w:numPr>
        <w:spacing w:line="400" w:lineRule="exact"/>
        <w:jc w:val="left"/>
        <w:rPr>
          <w:rFonts w:ascii="宋体" w:hAnsi="宋体" w:eastAsia="宋体" w:cs="宋体"/>
          <w:color w:val="000000"/>
        </w:rPr>
      </w:pPr>
      <w:r>
        <w:rPr>
          <w:rFonts w:hint="eastAsia" w:ascii="宋体" w:hAnsi="宋体" w:eastAsia="宋体" w:cs="宋体"/>
          <w:color w:val="000000"/>
        </w:rPr>
        <w:t>投标人不得以任何方式对招标人及其工作人员行贿，一经查出将丧失投标资格。</w:t>
      </w:r>
    </w:p>
    <w:p>
      <w:pPr>
        <w:widowControl/>
        <w:jc w:val="left"/>
        <w:rPr>
          <w:rFonts w:ascii="宋体" w:hAnsi="宋体" w:eastAsia="宋体" w:cs="宋体"/>
          <w:b/>
          <w:bCs/>
          <w:sz w:val="44"/>
          <w:szCs w:val="44"/>
        </w:rPr>
      </w:pPr>
      <w:r>
        <w:rPr>
          <w:rFonts w:hint="eastAsia" w:ascii="宋体" w:hAnsi="宋体" w:eastAsia="宋体" w:cs="宋体"/>
          <w:b/>
          <w:bCs/>
          <w:sz w:val="44"/>
          <w:szCs w:val="44"/>
        </w:rPr>
        <w:br w:type="page"/>
      </w:r>
    </w:p>
    <w:p>
      <w:pPr>
        <w:widowControl/>
        <w:tabs>
          <w:tab w:val="left" w:pos="420"/>
          <w:tab w:val="right" w:leader="dot" w:pos="8296"/>
        </w:tabs>
        <w:spacing w:before="120" w:after="120"/>
        <w:jc w:val="left"/>
        <w:rPr>
          <w:rFonts w:ascii="宋体" w:hAnsi="宋体" w:eastAsia="宋体" w:cs="宋体"/>
          <w:b/>
          <w:bCs/>
          <w:caps/>
          <w:sz w:val="24"/>
          <w:szCs w:val="24"/>
        </w:rPr>
        <w:sectPr>
          <w:footerReference r:id="rId7" w:type="default"/>
          <w:pgSz w:w="11906" w:h="16838"/>
          <w:pgMar w:top="1440" w:right="1800" w:bottom="1440" w:left="1800" w:header="708" w:footer="708" w:gutter="0"/>
          <w:cols w:space="720" w:num="1"/>
          <w:docGrid w:type="lines" w:linePitch="360" w:charSpace="0"/>
        </w:sectPr>
      </w:pPr>
    </w:p>
    <w:p>
      <w:pPr>
        <w:pStyle w:val="3"/>
        <w:rPr>
          <w:rFonts w:ascii="宋体" w:hAnsi="宋体" w:cs="宋体"/>
          <w:color w:val="000000"/>
        </w:rPr>
      </w:pPr>
      <w:bookmarkStart w:id="12" w:name="_Toc63185246"/>
      <w:r>
        <w:rPr>
          <w:rFonts w:hint="eastAsia" w:ascii="宋体" w:hAnsi="宋体" w:cs="宋体"/>
          <w:color w:val="000000"/>
        </w:rPr>
        <w:t>3.招标需求</w:t>
      </w:r>
    </w:p>
    <w:bookmarkEnd w:id="12"/>
    <w:p>
      <w:pPr>
        <w:pStyle w:val="4"/>
        <w:numPr>
          <w:ilvl w:val="0"/>
          <w:numId w:val="16"/>
        </w:numPr>
        <w:tabs>
          <w:tab w:val="left" w:pos="360"/>
        </w:tabs>
        <w:spacing w:before="120"/>
        <w:ind w:left="0" w:firstLine="0"/>
        <w:rPr>
          <w:rFonts w:ascii="宋体" w:hAnsi="宋体" w:cs="宋体"/>
          <w:color w:val="000000"/>
        </w:rPr>
      </w:pPr>
      <w:r>
        <w:rPr>
          <w:rFonts w:hint="eastAsia" w:ascii="宋体" w:hAnsi="宋体" w:cs="宋体"/>
          <w:color w:val="000000"/>
        </w:rPr>
        <w:t>项目一览表</w:t>
      </w:r>
    </w:p>
    <w:tbl>
      <w:tblPr>
        <w:tblStyle w:val="21"/>
        <w:tblW w:w="8932" w:type="dxa"/>
        <w:tblInd w:w="-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0"/>
        <w:gridCol w:w="2233"/>
        <w:gridCol w:w="694"/>
        <w:gridCol w:w="1100"/>
        <w:gridCol w:w="1522"/>
        <w:gridCol w:w="1460"/>
        <w:gridCol w:w="126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660" w:type="dxa"/>
            <w:tcBorders>
              <w:top w:val="single" w:color="auto"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序号</w:t>
            </w:r>
          </w:p>
        </w:tc>
        <w:tc>
          <w:tcPr>
            <w:tcW w:w="2233" w:type="dxa"/>
            <w:tcBorders>
              <w:top w:val="single" w:color="auto" w:sz="4" w:space="0"/>
              <w:left w:val="single" w:color="000000"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标项内容</w:t>
            </w:r>
          </w:p>
        </w:tc>
        <w:tc>
          <w:tcPr>
            <w:tcW w:w="694" w:type="dxa"/>
            <w:tcBorders>
              <w:top w:val="single" w:color="auto" w:sz="4" w:space="0"/>
              <w:left w:val="single" w:color="000000"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服务年限</w:t>
            </w:r>
          </w:p>
        </w:tc>
        <w:tc>
          <w:tcPr>
            <w:tcW w:w="1100" w:type="dxa"/>
            <w:tcBorders>
              <w:top w:val="single" w:color="auto" w:sz="4" w:space="0"/>
              <w:left w:val="single" w:color="000000"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预算金额</w:t>
            </w:r>
          </w:p>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（万元）</w:t>
            </w:r>
          </w:p>
        </w:tc>
        <w:tc>
          <w:tcPr>
            <w:tcW w:w="1522" w:type="dxa"/>
            <w:tcBorders>
              <w:top w:val="single" w:color="auto" w:sz="4" w:space="0"/>
              <w:left w:val="single" w:color="000000"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主要技术规格</w:t>
            </w:r>
          </w:p>
        </w:tc>
        <w:tc>
          <w:tcPr>
            <w:tcW w:w="1460" w:type="dxa"/>
            <w:tcBorders>
              <w:top w:val="single" w:color="auto" w:sz="4" w:space="0"/>
              <w:left w:val="single" w:color="000000" w:sz="4" w:space="0"/>
              <w:bottom w:val="single" w:color="000000" w:sz="4" w:space="0"/>
              <w:right w:val="single" w:color="000000" w:sz="4" w:space="0"/>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交货期</w:t>
            </w:r>
          </w:p>
        </w:tc>
        <w:tc>
          <w:tcPr>
            <w:tcW w:w="1263" w:type="dxa"/>
            <w:tcBorders>
              <w:top w:val="single" w:color="auto" w:sz="4" w:space="0"/>
              <w:left w:val="single" w:color="000000" w:sz="4" w:space="0"/>
              <w:bottom w:val="single" w:color="000000" w:sz="4" w:space="0"/>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目的地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660" w:type="dxa"/>
            <w:tcBorders>
              <w:top w:val="single" w:color="000000"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1</w:t>
            </w:r>
          </w:p>
        </w:tc>
        <w:tc>
          <w:tcPr>
            <w:tcW w:w="2233" w:type="dxa"/>
            <w:tcBorders>
              <w:top w:val="single" w:color="000000" w:sz="4" w:space="0"/>
              <w:left w:val="single" w:color="000000" w:sz="4" w:space="0"/>
              <w:bottom w:val="single" w:color="000000" w:sz="4" w:space="0"/>
              <w:right w:val="nil"/>
            </w:tcBorders>
            <w:vAlign w:val="center"/>
          </w:tcPr>
          <w:p>
            <w:pPr>
              <w:widowControl/>
              <w:snapToGrid w:val="0"/>
              <w:spacing w:line="360" w:lineRule="auto"/>
              <w:jc w:val="left"/>
              <w:rPr>
                <w:rFonts w:ascii="宋体" w:hAnsi="宋体" w:eastAsia="宋体" w:cs="宋体"/>
                <w:color w:val="000000"/>
                <w:szCs w:val="21"/>
              </w:rPr>
            </w:pPr>
            <w:r>
              <w:rPr>
                <w:rFonts w:hint="eastAsia" w:ascii="宋体" w:hAnsi="宋体" w:eastAsia="宋体" w:cs="宋体"/>
                <w:color w:val="000000"/>
                <w:szCs w:val="21"/>
              </w:rPr>
              <w:t>患者院后管理系统</w:t>
            </w:r>
          </w:p>
        </w:tc>
        <w:tc>
          <w:tcPr>
            <w:tcW w:w="694" w:type="dxa"/>
            <w:tcBorders>
              <w:top w:val="single" w:color="000000" w:sz="4" w:space="0"/>
              <w:left w:val="single" w:color="000000"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1年</w:t>
            </w:r>
          </w:p>
        </w:tc>
        <w:tc>
          <w:tcPr>
            <w:tcW w:w="1100" w:type="dxa"/>
            <w:tcBorders>
              <w:top w:val="single" w:color="000000" w:sz="4" w:space="0"/>
              <w:left w:val="single" w:color="000000"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15</w:t>
            </w:r>
          </w:p>
        </w:tc>
        <w:tc>
          <w:tcPr>
            <w:tcW w:w="1522" w:type="dxa"/>
            <w:tcBorders>
              <w:top w:val="single" w:color="000000" w:sz="4" w:space="0"/>
              <w:left w:val="single" w:color="000000" w:sz="4" w:space="0"/>
              <w:bottom w:val="single" w:color="000000" w:sz="4" w:space="0"/>
              <w:right w:val="nil"/>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详见参数表</w:t>
            </w:r>
          </w:p>
        </w:tc>
        <w:tc>
          <w:tcPr>
            <w:tcW w:w="1460"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合同签订后3个月内</w:t>
            </w:r>
          </w:p>
        </w:tc>
        <w:tc>
          <w:tcPr>
            <w:tcW w:w="1263" w:type="dxa"/>
            <w:tcBorders>
              <w:top w:val="single" w:color="000000" w:sz="4" w:space="0"/>
              <w:left w:val="single" w:color="000000" w:sz="4" w:space="0"/>
              <w:bottom w:val="single" w:color="000000" w:sz="4" w:space="0"/>
            </w:tcBorders>
            <w:vAlign w:val="center"/>
          </w:tcPr>
          <w:p>
            <w:pPr>
              <w:widowControl/>
              <w:snapToGrid w:val="0"/>
              <w:spacing w:line="360" w:lineRule="auto"/>
              <w:jc w:val="center"/>
              <w:rPr>
                <w:rFonts w:ascii="宋体" w:hAnsi="宋体" w:eastAsia="宋体" w:cs="宋体"/>
                <w:color w:val="000000"/>
                <w:szCs w:val="21"/>
              </w:rPr>
            </w:pPr>
            <w:r>
              <w:rPr>
                <w:rFonts w:hint="eastAsia" w:ascii="宋体" w:hAnsi="宋体" w:eastAsia="宋体" w:cs="宋体"/>
                <w:color w:val="000000"/>
                <w:szCs w:val="21"/>
              </w:rPr>
              <w:t>长兴县人民医院</w:t>
            </w:r>
          </w:p>
        </w:tc>
      </w:tr>
    </w:tbl>
    <w:p>
      <w:pPr>
        <w:rPr>
          <w:rFonts w:ascii="宋体" w:hAnsi="宋体" w:eastAsia="宋体" w:cs="宋体"/>
        </w:rPr>
      </w:pPr>
    </w:p>
    <w:p>
      <w:pPr>
        <w:pStyle w:val="4"/>
        <w:numPr>
          <w:ilvl w:val="0"/>
          <w:numId w:val="16"/>
        </w:numPr>
        <w:tabs>
          <w:tab w:val="left" w:pos="360"/>
        </w:tabs>
        <w:spacing w:before="120"/>
        <w:ind w:left="0" w:firstLine="0"/>
        <w:rPr>
          <w:rFonts w:ascii="宋体" w:hAnsi="宋体" w:cs="宋体"/>
          <w:color w:val="000000"/>
        </w:rPr>
      </w:pPr>
      <w:r>
        <w:rPr>
          <w:rFonts w:hint="eastAsia" w:ascii="宋体" w:hAnsi="宋体" w:cs="宋体"/>
          <w:color w:val="000000"/>
        </w:rPr>
        <w:t>项目背景</w:t>
      </w:r>
    </w:p>
    <w:p>
      <w:pPr>
        <w:numPr>
          <w:ilvl w:val="0"/>
          <w:numId w:val="17"/>
        </w:numPr>
        <w:spacing w:before="180" w:beforeLines="50" w:after="180" w:afterLines="50"/>
        <w:jc w:val="left"/>
        <w:rPr>
          <w:rFonts w:ascii="宋体" w:hAnsi="宋体" w:eastAsia="宋体" w:cs="宋体"/>
          <w:b/>
          <w:bCs/>
          <w:szCs w:val="21"/>
        </w:rPr>
      </w:pPr>
      <w:r>
        <w:rPr>
          <w:rFonts w:hint="eastAsia" w:ascii="宋体" w:hAnsi="宋体" w:eastAsia="宋体" w:cs="宋体"/>
          <w:b/>
          <w:bCs/>
          <w:szCs w:val="21"/>
        </w:rPr>
        <w:t>全国医院信息化建设标准与规范</w:t>
      </w:r>
    </w:p>
    <w:p>
      <w:pPr>
        <w:spacing w:before="180" w:beforeLines="50" w:after="180" w:afterLines="50"/>
        <w:ind w:firstLine="420" w:firstLineChars="200"/>
        <w:jc w:val="left"/>
        <w:rPr>
          <w:rFonts w:ascii="宋体" w:hAnsi="宋体" w:eastAsia="宋体" w:cs="宋体"/>
          <w:szCs w:val="21"/>
        </w:rPr>
      </w:pPr>
      <w:r>
        <w:rPr>
          <w:rFonts w:hint="eastAsia" w:ascii="宋体" w:hAnsi="宋体" w:eastAsia="宋体" w:cs="宋体"/>
          <w:szCs w:val="21"/>
        </w:rPr>
        <w:t>《全国医院信息化建设标准与规范（试行）》 要求如下：</w:t>
      </w:r>
    </w:p>
    <w:p>
      <w:pPr>
        <w:pStyle w:val="42"/>
        <w:spacing w:before="180" w:beforeLines="50" w:after="180" w:afterLines="50" w:line="240" w:lineRule="auto"/>
        <w:ind w:left="420"/>
        <w:rPr>
          <w:rFonts w:ascii="宋体" w:hAnsi="宋体" w:cs="宋体"/>
          <w:kern w:val="20"/>
          <w:sz w:val="21"/>
          <w:szCs w:val="21"/>
        </w:rPr>
      </w:pPr>
      <w:r>
        <w:rPr>
          <w:rFonts w:hint="eastAsia" w:ascii="宋体" w:hAnsi="宋体" w:cs="宋体"/>
          <w:kern w:val="20"/>
          <w:sz w:val="21"/>
          <w:szCs w:val="21"/>
        </w:rPr>
        <w:t>1</w:t>
      </w:r>
      <w:r>
        <w:rPr>
          <w:rFonts w:hint="eastAsia" w:ascii="宋体" w:hAnsi="宋体" w:cs="宋体"/>
          <w:kern w:val="20"/>
          <w:sz w:val="21"/>
          <w:szCs w:val="21"/>
          <w:lang w:val="zh-CN"/>
        </w:rPr>
        <w:t>、</w:t>
      </w:r>
      <w:r>
        <w:rPr>
          <w:rFonts w:hint="eastAsia" w:ascii="宋体" w:hAnsi="宋体" w:cs="宋体"/>
          <w:kern w:val="20"/>
          <w:sz w:val="21"/>
          <w:szCs w:val="21"/>
        </w:rPr>
        <w:t>随访管理：实现诊疗、康复过程中的患者随访管理。</w:t>
      </w:r>
    </w:p>
    <w:p>
      <w:pPr>
        <w:pStyle w:val="42"/>
        <w:spacing w:before="180" w:beforeLines="50" w:after="180" w:afterLines="50" w:line="240" w:lineRule="auto"/>
        <w:ind w:left="420"/>
        <w:rPr>
          <w:rFonts w:ascii="宋体" w:hAnsi="宋体" w:cs="宋体"/>
          <w:kern w:val="20"/>
          <w:sz w:val="21"/>
          <w:szCs w:val="21"/>
        </w:rPr>
      </w:pPr>
      <w:r>
        <w:rPr>
          <w:rFonts w:hint="eastAsia" w:ascii="宋体" w:hAnsi="宋体" w:cs="宋体"/>
          <w:kern w:val="20"/>
          <w:sz w:val="21"/>
          <w:szCs w:val="21"/>
        </w:rPr>
        <w:t>2</w:t>
      </w:r>
      <w:r>
        <w:rPr>
          <w:rFonts w:hint="eastAsia" w:ascii="宋体" w:hAnsi="宋体" w:cs="宋体"/>
          <w:kern w:val="20"/>
          <w:sz w:val="21"/>
          <w:szCs w:val="21"/>
          <w:lang w:val="zh-CN"/>
        </w:rPr>
        <w:t>、</w:t>
      </w:r>
      <w:r>
        <w:rPr>
          <w:rFonts w:hint="eastAsia" w:ascii="宋体" w:hAnsi="宋体" w:cs="宋体"/>
          <w:kern w:val="20"/>
          <w:sz w:val="21"/>
          <w:szCs w:val="21"/>
        </w:rPr>
        <w:t>健康宣教管理：通过有计划、有组织、有系统的社会和教育活动，促使人们自觉地采纳有益于健康的行为和生活方式，消除或减轻影响健康的危险因素，预防疾病，促进健康，提高生活质量。</w:t>
      </w:r>
    </w:p>
    <w:p>
      <w:pPr>
        <w:numPr>
          <w:ilvl w:val="0"/>
          <w:numId w:val="17"/>
        </w:numPr>
        <w:spacing w:before="180" w:beforeLines="50" w:after="180" w:afterLines="50"/>
        <w:jc w:val="left"/>
        <w:rPr>
          <w:rFonts w:ascii="宋体" w:hAnsi="宋体" w:eastAsia="宋体" w:cs="宋体"/>
          <w:b/>
          <w:bCs/>
          <w:szCs w:val="21"/>
        </w:rPr>
      </w:pPr>
      <w:bookmarkStart w:id="13" w:name="_Toc19588"/>
      <w:bookmarkStart w:id="14" w:name="_Toc18267"/>
      <w:bookmarkStart w:id="15" w:name="_Toc30619"/>
      <w:r>
        <w:rPr>
          <w:rFonts w:hint="eastAsia" w:ascii="宋体" w:hAnsi="宋体" w:eastAsia="宋体" w:cs="宋体"/>
          <w:b/>
          <w:bCs/>
          <w:szCs w:val="21"/>
        </w:rPr>
        <w:t>等级医院考核要求</w:t>
      </w:r>
      <w:bookmarkEnd w:id="13"/>
      <w:bookmarkEnd w:id="14"/>
      <w:bookmarkEnd w:id="15"/>
    </w:p>
    <w:p>
      <w:pPr>
        <w:spacing w:before="180" w:beforeLines="50" w:after="180" w:afterLines="50"/>
        <w:ind w:firstLine="420" w:firstLineChars="200"/>
        <w:jc w:val="left"/>
        <w:rPr>
          <w:rFonts w:ascii="宋体" w:hAnsi="宋体" w:eastAsia="宋体" w:cs="宋体"/>
          <w:szCs w:val="21"/>
          <w:lang w:val="zh-CN"/>
        </w:rPr>
      </w:pPr>
      <w:r>
        <w:rPr>
          <w:rFonts w:hint="eastAsia" w:ascii="宋体" w:hAnsi="宋体" w:eastAsia="宋体" w:cs="宋体"/>
          <w:szCs w:val="21"/>
          <w:lang w:val="zh-CN"/>
        </w:rPr>
        <w:t>等级医院评审要求明确指出患者健康教育、出院指导是考核要求之一。出院随访原本就是医务人员的本职基础工作，属于医院医疗管理范畴。要求如下：</w:t>
      </w:r>
    </w:p>
    <w:p>
      <w:pPr>
        <w:pStyle w:val="42"/>
        <w:numPr>
          <w:ilvl w:val="0"/>
          <w:numId w:val="18"/>
        </w:numPr>
        <w:spacing w:before="180" w:beforeLines="50" w:after="180" w:afterLines="50" w:line="240" w:lineRule="auto"/>
        <w:rPr>
          <w:rFonts w:ascii="宋体" w:hAnsi="宋体" w:cs="宋体"/>
          <w:kern w:val="20"/>
          <w:sz w:val="21"/>
          <w:szCs w:val="21"/>
          <w:lang w:val="zh-CN"/>
        </w:rPr>
      </w:pPr>
      <w:r>
        <w:rPr>
          <w:rFonts w:hint="eastAsia" w:ascii="宋体" w:hAnsi="宋体" w:cs="宋体"/>
          <w:kern w:val="20"/>
          <w:sz w:val="21"/>
          <w:szCs w:val="21"/>
          <w:lang w:val="zh-CN"/>
        </w:rPr>
        <w:t>1、开展健康教育与健康促进、健康咨询等多种形式的公益性社会活动。</w:t>
      </w:r>
    </w:p>
    <w:p>
      <w:pPr>
        <w:pStyle w:val="42"/>
        <w:numPr>
          <w:ilvl w:val="0"/>
          <w:numId w:val="18"/>
        </w:numPr>
        <w:spacing w:before="180" w:beforeLines="50" w:after="180" w:afterLines="50" w:line="240" w:lineRule="auto"/>
        <w:rPr>
          <w:rFonts w:ascii="宋体" w:hAnsi="宋体" w:cs="宋体"/>
          <w:kern w:val="20"/>
          <w:sz w:val="21"/>
          <w:szCs w:val="21"/>
          <w:lang w:val="zh-CN"/>
        </w:rPr>
      </w:pPr>
      <w:r>
        <w:rPr>
          <w:rFonts w:hint="eastAsia" w:ascii="宋体" w:hAnsi="宋体" w:cs="宋体"/>
          <w:kern w:val="20"/>
          <w:sz w:val="21"/>
          <w:szCs w:val="21"/>
          <w:lang w:val="zh-CN"/>
        </w:rPr>
        <w:t>2、加强出院患者健康教育和随访预约管理，提高患者健康知识水平和出院后医疗、护理及康复措施的知晓度。</w:t>
      </w:r>
    </w:p>
    <w:p>
      <w:pPr>
        <w:pStyle w:val="42"/>
        <w:numPr>
          <w:ilvl w:val="0"/>
          <w:numId w:val="18"/>
        </w:numPr>
        <w:spacing w:before="180" w:beforeLines="50" w:after="180" w:afterLines="50" w:line="240" w:lineRule="auto"/>
        <w:rPr>
          <w:rFonts w:ascii="宋体" w:hAnsi="宋体" w:cs="宋体"/>
          <w:kern w:val="20"/>
          <w:sz w:val="21"/>
          <w:szCs w:val="21"/>
          <w:lang w:val="zh-CN"/>
        </w:rPr>
      </w:pPr>
      <w:r>
        <w:rPr>
          <w:rFonts w:hint="eastAsia" w:ascii="宋体" w:hAnsi="宋体" w:cs="宋体"/>
          <w:kern w:val="20"/>
          <w:sz w:val="21"/>
          <w:szCs w:val="21"/>
          <w:lang w:val="zh-CN"/>
        </w:rPr>
        <w:t>3、针对患者疾病诊疗，为患者及其近亲属提供相关的健康知识教育，协助患者对诊疗方案做出正确理解与选择。</w:t>
      </w:r>
    </w:p>
    <w:p>
      <w:pPr>
        <w:pStyle w:val="42"/>
        <w:numPr>
          <w:ilvl w:val="0"/>
          <w:numId w:val="18"/>
        </w:numPr>
        <w:spacing w:before="180" w:beforeLines="50" w:after="180" w:afterLines="50" w:line="240" w:lineRule="auto"/>
        <w:rPr>
          <w:rFonts w:ascii="宋体" w:hAnsi="宋体" w:cs="宋体"/>
          <w:kern w:val="20"/>
          <w:sz w:val="21"/>
          <w:szCs w:val="21"/>
          <w:lang w:val="zh-CN"/>
        </w:rPr>
      </w:pPr>
      <w:r>
        <w:rPr>
          <w:rFonts w:hint="eastAsia" w:ascii="宋体" w:hAnsi="宋体" w:cs="宋体"/>
          <w:kern w:val="20"/>
          <w:sz w:val="21"/>
          <w:szCs w:val="21"/>
          <w:lang w:val="zh-CN"/>
        </w:rPr>
        <w:t>4、医院对患者的出院指导与随访有明确的制度与要求。</w:t>
      </w:r>
    </w:p>
    <w:p>
      <w:pPr>
        <w:pStyle w:val="42"/>
        <w:numPr>
          <w:ilvl w:val="0"/>
          <w:numId w:val="18"/>
        </w:numPr>
        <w:spacing w:before="180" w:beforeLines="50" w:after="180" w:afterLines="50" w:line="240" w:lineRule="auto"/>
        <w:rPr>
          <w:rFonts w:ascii="宋体" w:hAnsi="宋体" w:cs="宋体"/>
          <w:kern w:val="20"/>
          <w:sz w:val="21"/>
          <w:szCs w:val="21"/>
          <w:lang w:val="zh-CN"/>
        </w:rPr>
      </w:pPr>
      <w:r>
        <w:rPr>
          <w:rFonts w:hint="eastAsia" w:ascii="宋体" w:hAnsi="宋体" w:cs="宋体"/>
          <w:kern w:val="20"/>
          <w:sz w:val="21"/>
          <w:szCs w:val="21"/>
          <w:lang w:val="zh-CN"/>
        </w:rPr>
        <w:t>5、对特定患者采用多种形式定期随访。</w:t>
      </w:r>
    </w:p>
    <w:p>
      <w:pPr>
        <w:pStyle w:val="42"/>
        <w:numPr>
          <w:ilvl w:val="0"/>
          <w:numId w:val="18"/>
        </w:numPr>
        <w:spacing w:before="180" w:beforeLines="50" w:after="180" w:afterLines="50" w:line="240" w:lineRule="auto"/>
        <w:rPr>
          <w:rFonts w:ascii="宋体" w:hAnsi="宋体" w:cs="宋体"/>
          <w:szCs w:val="21"/>
          <w:shd w:val="clear" w:color="auto" w:fill="FFFFFF"/>
        </w:rPr>
      </w:pPr>
      <w:r>
        <w:rPr>
          <w:rFonts w:hint="eastAsia" w:ascii="宋体" w:hAnsi="宋体" w:cs="宋体"/>
          <w:kern w:val="20"/>
          <w:sz w:val="21"/>
          <w:szCs w:val="21"/>
          <w:lang w:val="zh-CN"/>
        </w:rPr>
        <w:t>6、为患者提供心理与健康指导服务和出院指导。</w:t>
      </w:r>
    </w:p>
    <w:p>
      <w:pPr>
        <w:rPr>
          <w:rFonts w:ascii="宋体" w:hAnsi="宋体" w:eastAsia="宋体" w:cs="宋体"/>
        </w:rPr>
      </w:pPr>
    </w:p>
    <w:p>
      <w:pPr>
        <w:pStyle w:val="4"/>
        <w:numPr>
          <w:ilvl w:val="0"/>
          <w:numId w:val="16"/>
        </w:numPr>
        <w:tabs>
          <w:tab w:val="left" w:pos="360"/>
        </w:tabs>
        <w:spacing w:before="120"/>
        <w:ind w:left="0" w:firstLine="0"/>
        <w:rPr>
          <w:rFonts w:ascii="宋体" w:hAnsi="宋体" w:cs="宋体"/>
          <w:color w:val="000000"/>
        </w:rPr>
      </w:pPr>
      <w:bookmarkStart w:id="16" w:name="_Toc63185249"/>
      <w:r>
        <w:rPr>
          <w:rFonts w:hint="eastAsia" w:ascii="宋体" w:hAnsi="宋体" w:cs="宋体"/>
          <w:color w:val="000000"/>
        </w:rPr>
        <w:t>服务要求</w:t>
      </w:r>
      <w:bookmarkEnd w:id="16"/>
    </w:p>
    <w:p>
      <w:pPr>
        <w:pStyle w:val="5"/>
        <w:numPr>
          <w:ilvl w:val="0"/>
          <w:numId w:val="19"/>
        </w:numPr>
        <w:tabs>
          <w:tab w:val="left" w:pos="360"/>
        </w:tabs>
        <w:ind w:left="0" w:firstLine="0"/>
        <w:rPr>
          <w:rFonts w:ascii="宋体" w:hAnsi="宋体" w:eastAsia="宋体" w:cs="宋体"/>
          <w:color w:val="000000"/>
        </w:rPr>
      </w:pPr>
      <w:r>
        <w:rPr>
          <w:rFonts w:hint="eastAsia" w:ascii="宋体" w:hAnsi="宋体" w:eastAsia="宋体" w:cs="宋体"/>
          <w:color w:val="000000"/>
          <w:szCs w:val="21"/>
        </w:rPr>
        <w:t>患者院后管理系统</w:t>
      </w:r>
    </w:p>
    <w:p>
      <w:pPr>
        <w:spacing w:line="360" w:lineRule="auto"/>
        <w:outlineLvl w:val="3"/>
        <w:rPr>
          <w:rFonts w:ascii="宋体" w:hAnsi="宋体" w:eastAsia="宋体" w:cs="宋体"/>
          <w:b/>
          <w:bCs/>
        </w:rPr>
      </w:pPr>
      <w:r>
        <w:rPr>
          <w:rFonts w:hint="eastAsia" w:ascii="宋体" w:hAnsi="宋体" w:eastAsia="宋体" w:cs="宋体"/>
          <w:b/>
          <w:bCs/>
        </w:rPr>
        <w:t>1.1 系统总体要求</w:t>
      </w:r>
    </w:p>
    <w:p>
      <w:pPr>
        <w:pStyle w:val="41"/>
        <w:spacing w:line="360" w:lineRule="auto"/>
        <w:ind w:firstLine="0" w:firstLineChars="0"/>
        <w:rPr>
          <w:rFonts w:ascii="宋体" w:hAnsi="宋体" w:eastAsia="宋体"/>
          <w:b/>
          <w:bCs/>
          <w:kern w:val="0"/>
        </w:rPr>
      </w:pPr>
      <w:r>
        <w:rPr>
          <w:rFonts w:hint="eastAsia" w:ascii="宋体" w:hAnsi="宋体" w:eastAsia="宋体"/>
          <w:b/>
          <w:bCs/>
          <w:kern w:val="0"/>
        </w:rPr>
        <w:t>1、先进性</w:t>
      </w:r>
    </w:p>
    <w:p>
      <w:pPr>
        <w:pStyle w:val="41"/>
        <w:spacing w:line="360" w:lineRule="auto"/>
        <w:jc w:val="left"/>
        <w:rPr>
          <w:rFonts w:ascii="宋体" w:hAnsi="宋体" w:eastAsia="宋体"/>
          <w:kern w:val="0"/>
        </w:rPr>
      </w:pPr>
      <w:r>
        <w:rPr>
          <w:rFonts w:hint="eastAsia" w:ascii="宋体" w:hAnsi="宋体" w:eastAsia="宋体"/>
          <w:kern w:val="0"/>
        </w:rPr>
        <w:t>系统的设计和所采用的技术必须具备足够的前瞻性和先进性，采用先进的设计思想和开发方法，支持大用户量并发访问，包括大并发下的缓存技术，页面异步数据交换，支持HTML5等新的互联网技术。考虑到医院业务发展所带来的海量数据处理，确保未来5年内可以满足医院业务运作对整个系统的要求。</w:t>
      </w:r>
    </w:p>
    <w:p>
      <w:pPr>
        <w:pStyle w:val="41"/>
        <w:spacing w:line="360" w:lineRule="auto"/>
        <w:ind w:firstLine="0" w:firstLineChars="0"/>
        <w:rPr>
          <w:rFonts w:ascii="宋体" w:hAnsi="宋体" w:eastAsia="宋体"/>
          <w:b/>
          <w:bCs/>
          <w:kern w:val="0"/>
        </w:rPr>
      </w:pPr>
      <w:r>
        <w:rPr>
          <w:rFonts w:hint="eastAsia" w:ascii="宋体" w:hAnsi="宋体" w:eastAsia="宋体"/>
          <w:b/>
          <w:bCs/>
          <w:kern w:val="0"/>
        </w:rPr>
        <w:t>2、安全性</w:t>
      </w:r>
    </w:p>
    <w:p>
      <w:pPr>
        <w:pStyle w:val="41"/>
        <w:spacing w:line="360" w:lineRule="auto"/>
        <w:rPr>
          <w:rFonts w:ascii="宋体" w:hAnsi="宋体" w:eastAsia="宋体"/>
          <w:kern w:val="0"/>
        </w:rPr>
      </w:pPr>
      <w:r>
        <w:rPr>
          <w:rFonts w:hint="eastAsia" w:ascii="宋体" w:hAnsi="宋体" w:eastAsia="宋体"/>
          <w:kern w:val="0"/>
        </w:rPr>
        <w:t>在系统设计、实施阶段从多个方面充分考虑整个系统的安全性，防范医疗数据外泄，并且系统中所有重要操作需留有记录，以便追根溯源。系统管理员可以按照每个用户的岗位角色和所需要完成的业务来分配功能使用和信息查看权限。</w:t>
      </w:r>
    </w:p>
    <w:p>
      <w:pPr>
        <w:pStyle w:val="41"/>
        <w:spacing w:line="360" w:lineRule="auto"/>
        <w:ind w:firstLine="0" w:firstLineChars="0"/>
        <w:rPr>
          <w:rFonts w:ascii="宋体" w:hAnsi="宋体" w:eastAsia="宋体"/>
          <w:b/>
          <w:bCs/>
          <w:kern w:val="0"/>
        </w:rPr>
      </w:pPr>
      <w:r>
        <w:rPr>
          <w:rFonts w:hint="eastAsia" w:ascii="宋体" w:hAnsi="宋体" w:eastAsia="宋体"/>
          <w:b/>
          <w:bCs/>
          <w:kern w:val="0"/>
        </w:rPr>
        <w:t>3、兼容性</w:t>
      </w:r>
    </w:p>
    <w:p>
      <w:pPr>
        <w:pStyle w:val="41"/>
        <w:spacing w:line="360" w:lineRule="auto"/>
        <w:rPr>
          <w:rFonts w:ascii="宋体" w:hAnsi="宋体" w:eastAsia="宋体"/>
          <w:kern w:val="0"/>
        </w:rPr>
      </w:pPr>
      <w:r>
        <w:rPr>
          <w:rFonts w:hint="eastAsia" w:ascii="宋体" w:hAnsi="宋体" w:eastAsia="宋体"/>
          <w:kern w:val="0"/>
        </w:rPr>
        <w:t>技术上按照国际标准，同时符合国家标准，支持多种主流浏览器访问，移动APP支持Andriod、IOS操作系统，自适应移动设备在线浏览，实现良好的跨平台能力，便于与不同系统间的数据交互。</w:t>
      </w:r>
    </w:p>
    <w:p>
      <w:pPr>
        <w:pStyle w:val="41"/>
        <w:spacing w:line="360" w:lineRule="auto"/>
        <w:ind w:firstLine="0" w:firstLineChars="0"/>
        <w:rPr>
          <w:rFonts w:ascii="宋体" w:hAnsi="宋体" w:eastAsia="宋体"/>
          <w:b/>
          <w:bCs/>
          <w:kern w:val="0"/>
        </w:rPr>
      </w:pPr>
      <w:r>
        <w:rPr>
          <w:rFonts w:hint="eastAsia" w:ascii="宋体" w:hAnsi="宋体" w:eastAsia="宋体"/>
          <w:b/>
          <w:bCs/>
          <w:kern w:val="0"/>
        </w:rPr>
        <w:t>4、开发技术</w:t>
      </w:r>
    </w:p>
    <w:p>
      <w:pPr>
        <w:pStyle w:val="41"/>
        <w:spacing w:line="360" w:lineRule="auto"/>
        <w:rPr>
          <w:rFonts w:ascii="宋体" w:hAnsi="宋体" w:eastAsia="宋体"/>
          <w:kern w:val="0"/>
        </w:rPr>
      </w:pPr>
      <w:r>
        <w:rPr>
          <w:rFonts w:hint="eastAsia" w:ascii="宋体" w:hAnsi="宋体" w:eastAsia="宋体"/>
          <w:kern w:val="0"/>
        </w:rPr>
        <w:t>系统以当前主流的 Java EE 平台进行开发，业务平台采用 B/S 模式，院内外数据传输采用长连接消息流并加密方式。全系统使用多层 MVC 结构设计，界面处理、业务逻辑、数据运算分离等技术。数据库支持MySQL、Oracle、SQLserver等大型数据库。</w:t>
      </w:r>
    </w:p>
    <w:p>
      <w:pPr>
        <w:pStyle w:val="41"/>
        <w:spacing w:line="360" w:lineRule="auto"/>
        <w:ind w:firstLine="0" w:firstLineChars="0"/>
        <w:rPr>
          <w:rFonts w:ascii="宋体" w:hAnsi="宋体" w:eastAsia="宋体"/>
          <w:b/>
          <w:bCs/>
          <w:kern w:val="0"/>
        </w:rPr>
      </w:pPr>
      <w:r>
        <w:rPr>
          <w:rFonts w:hint="eastAsia" w:ascii="宋体" w:hAnsi="宋体" w:eastAsia="宋体"/>
          <w:b/>
          <w:bCs/>
          <w:kern w:val="0"/>
        </w:rPr>
        <w:t>5、可扩展性</w:t>
      </w:r>
    </w:p>
    <w:p>
      <w:pPr>
        <w:pStyle w:val="41"/>
        <w:spacing w:line="360" w:lineRule="auto"/>
        <w:rPr>
          <w:rFonts w:ascii="宋体" w:hAnsi="宋体" w:eastAsia="宋体"/>
          <w:kern w:val="0"/>
        </w:rPr>
      </w:pPr>
      <w:r>
        <w:rPr>
          <w:rFonts w:hint="eastAsia" w:ascii="宋体" w:hAnsi="宋体" w:eastAsia="宋体"/>
          <w:kern w:val="0"/>
        </w:rPr>
        <w:t>为适应不断发展的医疗业务，系统具备良好的扩展性，开放性和移植性。随着业务规模的增长和业务种类的增加，通过修改软件功能适应新业务的需求。整个系统采用结构化，模块化设计，支持业界通用标准平台和协议。</w:t>
      </w:r>
    </w:p>
    <w:p>
      <w:pPr>
        <w:spacing w:line="360" w:lineRule="auto"/>
        <w:outlineLvl w:val="3"/>
        <w:rPr>
          <w:rFonts w:ascii="宋体" w:hAnsi="宋体" w:eastAsia="宋体" w:cs="宋体"/>
          <w:b/>
          <w:bCs/>
        </w:rPr>
      </w:pPr>
      <w:bookmarkStart w:id="17" w:name="_Toc63185251"/>
      <w:r>
        <w:rPr>
          <w:rFonts w:hint="eastAsia" w:ascii="宋体" w:hAnsi="宋体" w:eastAsia="宋体" w:cs="宋体"/>
          <w:b/>
          <w:bCs/>
        </w:rPr>
        <w:t xml:space="preserve">1.2 </w:t>
      </w:r>
      <w:bookmarkEnd w:id="17"/>
      <w:r>
        <w:rPr>
          <w:rFonts w:hint="eastAsia" w:ascii="宋体" w:hAnsi="宋体" w:eastAsia="宋体" w:cs="宋体"/>
          <w:b/>
          <w:bCs/>
        </w:rPr>
        <w:t>系统详细功能清单</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0" w:type="dxa"/>
          <w:bottom w:w="0" w:type="dxa"/>
          <w:right w:w="0" w:type="dxa"/>
        </w:tblCellMar>
      </w:tblPr>
      <w:tblGrid>
        <w:gridCol w:w="1385"/>
        <w:gridCol w:w="907"/>
        <w:gridCol w:w="1066"/>
        <w:gridCol w:w="4972"/>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408" w:hRule="atLeast"/>
        </w:trPr>
        <w:tc>
          <w:tcPr>
            <w:tcW w:w="0" w:type="auto"/>
            <w:tcBorders>
              <w:bottom w:val="single" w:color="auto" w:sz="4" w:space="0"/>
              <w:right w:val="single" w:color="000000" w:sz="4" w:space="0"/>
            </w:tcBorders>
            <w:shd w:val="clear" w:color="auto" w:fill="E2EFDA"/>
            <w:tcMar>
              <w:top w:w="12" w:type="dxa"/>
              <w:left w:w="12" w:type="dxa"/>
              <w:right w:w="12" w:type="dxa"/>
            </w:tcMar>
            <w:vAlign w:val="center"/>
          </w:tcPr>
          <w:p>
            <w:pPr>
              <w:widowControl/>
              <w:spacing w:line="360" w:lineRule="auto"/>
              <w:jc w:val="center"/>
              <w:textAlignment w:val="center"/>
              <w:rPr>
                <w:rFonts w:ascii="宋体" w:hAnsi="宋体" w:eastAsia="宋体" w:cs="宋体"/>
                <w:b/>
                <w:kern w:val="0"/>
                <w:szCs w:val="21"/>
                <w:lang w:bidi="ar"/>
              </w:rPr>
            </w:pPr>
            <w:r>
              <w:rPr>
                <w:rFonts w:hint="eastAsia" w:ascii="宋体" w:hAnsi="宋体" w:eastAsia="宋体" w:cs="宋体"/>
                <w:b/>
                <w:kern w:val="0"/>
                <w:szCs w:val="21"/>
                <w:lang w:bidi="ar"/>
              </w:rPr>
              <w:t>子系统</w:t>
            </w:r>
          </w:p>
        </w:tc>
        <w:tc>
          <w:tcPr>
            <w:tcW w:w="907" w:type="dxa"/>
            <w:tcBorders>
              <w:left w:val="single" w:color="000000" w:sz="4" w:space="0"/>
              <w:bottom w:val="single" w:color="auto" w:sz="4" w:space="0"/>
              <w:right w:val="single" w:color="000000" w:sz="4" w:space="0"/>
            </w:tcBorders>
            <w:shd w:val="clear" w:color="auto" w:fill="E2EFDA"/>
            <w:tcMar>
              <w:top w:w="12" w:type="dxa"/>
              <w:left w:w="12" w:type="dxa"/>
              <w:right w:w="12" w:type="dxa"/>
            </w:tcMar>
            <w:vAlign w:val="center"/>
          </w:tcPr>
          <w:p>
            <w:pPr>
              <w:widowControl/>
              <w:spacing w:line="360" w:lineRule="auto"/>
              <w:jc w:val="center"/>
              <w:textAlignment w:val="center"/>
              <w:rPr>
                <w:rFonts w:ascii="宋体" w:hAnsi="宋体" w:eastAsia="宋体" w:cs="宋体"/>
                <w:b/>
                <w:kern w:val="0"/>
                <w:szCs w:val="21"/>
                <w:lang w:bidi="ar"/>
              </w:rPr>
            </w:pPr>
            <w:r>
              <w:rPr>
                <w:rFonts w:hint="eastAsia" w:ascii="宋体" w:hAnsi="宋体" w:eastAsia="宋体" w:cs="宋体"/>
                <w:b/>
                <w:kern w:val="0"/>
                <w:szCs w:val="21"/>
                <w:lang w:bidi="ar"/>
              </w:rPr>
              <w:t>功能模块</w:t>
            </w:r>
          </w:p>
        </w:tc>
        <w:tc>
          <w:tcPr>
            <w:tcW w:w="1066" w:type="dxa"/>
            <w:tcBorders>
              <w:left w:val="single" w:color="000000" w:sz="4" w:space="0"/>
              <w:bottom w:val="single" w:color="auto" w:sz="4" w:space="0"/>
              <w:right w:val="single" w:color="000000" w:sz="4" w:space="0"/>
            </w:tcBorders>
            <w:shd w:val="clear" w:color="auto" w:fill="E2EFDA"/>
            <w:tcMar>
              <w:top w:w="12" w:type="dxa"/>
              <w:left w:w="12" w:type="dxa"/>
              <w:right w:w="12" w:type="dxa"/>
            </w:tcMar>
            <w:vAlign w:val="center"/>
          </w:tcPr>
          <w:p>
            <w:pPr>
              <w:widowControl/>
              <w:spacing w:line="360" w:lineRule="auto"/>
              <w:jc w:val="center"/>
              <w:textAlignment w:val="center"/>
              <w:rPr>
                <w:rFonts w:ascii="宋体" w:hAnsi="宋体" w:eastAsia="宋体" w:cs="宋体"/>
                <w:b/>
                <w:kern w:val="0"/>
                <w:szCs w:val="21"/>
                <w:lang w:bidi="ar"/>
              </w:rPr>
            </w:pPr>
            <w:r>
              <w:rPr>
                <w:rFonts w:hint="eastAsia" w:ascii="宋体" w:hAnsi="宋体" w:eastAsia="宋体" w:cs="宋体"/>
                <w:b/>
                <w:kern w:val="0"/>
                <w:szCs w:val="21"/>
                <w:lang w:bidi="ar"/>
              </w:rPr>
              <w:t>模块功能</w:t>
            </w:r>
          </w:p>
        </w:tc>
        <w:tc>
          <w:tcPr>
            <w:tcW w:w="4972" w:type="dxa"/>
            <w:tcBorders>
              <w:left w:val="single" w:color="000000" w:sz="4" w:space="0"/>
              <w:bottom w:val="single" w:color="auto" w:sz="4" w:space="0"/>
            </w:tcBorders>
            <w:shd w:val="clear" w:color="auto" w:fill="E2EFDA"/>
            <w:tcMar>
              <w:top w:w="12" w:type="dxa"/>
              <w:left w:w="12" w:type="dxa"/>
              <w:right w:w="12" w:type="dxa"/>
            </w:tcMar>
            <w:vAlign w:val="center"/>
          </w:tcPr>
          <w:p>
            <w:pPr>
              <w:widowControl/>
              <w:spacing w:line="360" w:lineRule="auto"/>
              <w:jc w:val="center"/>
              <w:textAlignment w:val="center"/>
              <w:rPr>
                <w:rFonts w:ascii="宋体" w:hAnsi="宋体" w:eastAsia="宋体" w:cs="宋体"/>
                <w:b/>
                <w:kern w:val="0"/>
                <w:szCs w:val="21"/>
                <w:lang w:bidi="ar"/>
              </w:rPr>
            </w:pPr>
            <w:r>
              <w:rPr>
                <w:rFonts w:hint="eastAsia" w:ascii="宋体" w:hAnsi="宋体" w:eastAsia="宋体" w:cs="宋体"/>
                <w:b/>
                <w:kern w:val="0"/>
                <w:szCs w:val="21"/>
                <w:lang w:bidi="ar"/>
              </w:rPr>
              <w:t>功能描述</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restart"/>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textAlignment w:val="center"/>
              <w:rPr>
                <w:rFonts w:ascii="宋体" w:hAnsi="宋体" w:eastAsia="宋体" w:cs="宋体"/>
                <w:b/>
                <w:color w:val="000000"/>
                <w:szCs w:val="21"/>
              </w:rPr>
            </w:pPr>
            <w:r>
              <w:rPr>
                <w:rFonts w:hint="eastAsia" w:ascii="宋体" w:hAnsi="宋体" w:eastAsia="宋体" w:cs="宋体"/>
                <w:b/>
                <w:color w:val="000000"/>
                <w:kern w:val="0"/>
                <w:szCs w:val="21"/>
                <w:lang w:bidi="ar"/>
              </w:rPr>
              <w:t>业务基础平台</w:t>
            </w:r>
          </w:p>
        </w:tc>
        <w:tc>
          <w:tcPr>
            <w:tcW w:w="90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我的工作站</w:t>
            </w: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我的首页</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根据开通的功能模块，针对不同用户，实现首页模块自定义配置功能，包括随访管理、健康宣教、满意度调查等。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我的随访</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提供随访任务快捷处理入口；</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提供随访异常情况的展现和处理入口。</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12"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健康宣教</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提供宣教任务快捷处理入口。</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满意度调查</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提供满意度调查任务快捷处理入口；</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提供满意度调查异常情况的展现和处理入口。</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12"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患者信息查询</w:t>
            </w: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患者列表管理</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rPr>
            </w:pPr>
            <w:r>
              <w:rPr>
                <w:rFonts w:hint="eastAsia" w:ascii="宋体" w:hAnsi="宋体" w:eastAsia="宋体" w:cs="宋体"/>
              </w:rPr>
              <w:t>支持对患者按照门诊、住院、在院、体检等不同患者来源进行列表展现，</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rPr>
              <w:t>●并可根据不同类别设置不同的查询检索条件，并可以将特殊患者（如有医疗纠纷）加入过滤名单</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门诊患者查询</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针对门诊患者可基于门诊信息（患者姓名、门诊号、联系方式、就诊日期、就诊科室、就诊医生、疾病诊断）等条件进行患者筛选和检索。</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出院患者查询</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针对出院患者可基于出院信息（患者姓名、住院号、病床号、出院日期、出院科室、出院病区、出院诊断）等条件进行患者筛选和检索。</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在院患者查询</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支持对患者按照门诊、住院、在院、体检等不同患者来源进行列表展现，</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●并可根据不同类别设置不同的查询检索条件，并可以将特殊患者（如有医疗纠纷）加入过滤名单</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患者基础档案</w:t>
            </w: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基本信息维护</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查看患者个人信息，包括姓名、性别、年龄、电话等基本信息；</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●支持维护患者使用的联系方式，患者家属主要联系人的电话号码信息，可以设置默认联系人</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00" w:hRule="atLeast"/>
        </w:trPr>
        <w:tc>
          <w:tcPr>
            <w:tcW w:w="0" w:type="auto"/>
            <w:vMerge w:val="continue"/>
            <w:tcBorders>
              <w:top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门诊诊疗记录</w:t>
            </w:r>
          </w:p>
        </w:tc>
        <w:tc>
          <w:tcPr>
            <w:tcW w:w="4972" w:type="dxa"/>
            <w:tcBorders>
              <w:top w:val="single" w:color="auto" w:sz="4" w:space="0"/>
              <w:left w:val="single" w:color="auto" w:sz="4" w:space="0"/>
              <w:bottom w:val="single" w:color="auto"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支持查看历次门诊诊疗信息，包括就诊记录、门诊诊断、检验、检查等；</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按照时间顺序对历次门诊诊疗记录进行排列，同时可查看门诊就诊次数。</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900" w:hRule="atLeast"/>
        </w:trPr>
        <w:tc>
          <w:tcPr>
            <w:tcW w:w="0" w:type="auto"/>
            <w:vMerge w:val="continue"/>
            <w:tcBorders>
              <w:top w:val="single" w:color="auto"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auto"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住院诊疗记录</w:t>
            </w:r>
          </w:p>
        </w:tc>
        <w:tc>
          <w:tcPr>
            <w:tcW w:w="4972" w:type="dxa"/>
            <w:tcBorders>
              <w:top w:val="single" w:color="auto"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支持查看历次住院诊疗记录，包括出院记录、医嘱信息、检验检查记录、手术记录等；</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按照时间顺序对历次住院诊疗记录进行排列，同时可查看住院次数。</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快捷互动</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支持对当前选择的患者进行快捷的手动电话拨打、短信发送、宣教推送、随访问卷/表单及满意度问卷的推送等操作。</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患者数据接入</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院内系统对接</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支持与医院HIS、LIS等系统等系统对接，实现患者列表、就诊记录查询与展现；</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系统管理</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权限管理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rPr>
            </w:pPr>
            <w:r>
              <w:rPr>
                <w:rFonts w:hint="eastAsia" w:ascii="宋体" w:hAnsi="宋体" w:eastAsia="宋体" w:cs="宋体"/>
              </w:rPr>
              <w:t>权限管理包括用户管理、角色管理、科室管理和全息档案管理。</w:t>
            </w:r>
          </w:p>
          <w:p>
            <w:pPr>
              <w:widowControl/>
              <w:spacing w:line="360" w:lineRule="auto"/>
              <w:jc w:val="left"/>
              <w:textAlignment w:val="center"/>
              <w:rPr>
                <w:rFonts w:ascii="宋体" w:hAnsi="宋体" w:eastAsia="宋体" w:cs="宋体"/>
              </w:rPr>
            </w:pPr>
            <w:r>
              <w:rPr>
                <w:rFonts w:hint="eastAsia" w:ascii="宋体" w:hAnsi="宋体" w:eastAsia="宋体" w:cs="宋体"/>
              </w:rPr>
              <w:t>用户管理包括基本信息设置和权限信息的设置，基本信息如账号、密码、用户类别、身份证号、手机号、性别、出生日期、科室、职称、类别的设置；</w:t>
            </w:r>
          </w:p>
          <w:p>
            <w:pPr>
              <w:widowControl/>
              <w:spacing w:line="360" w:lineRule="auto"/>
              <w:jc w:val="left"/>
              <w:textAlignment w:val="center"/>
              <w:rPr>
                <w:rFonts w:ascii="宋体" w:hAnsi="宋体" w:eastAsia="宋体" w:cs="宋体"/>
              </w:rPr>
            </w:pPr>
            <w:r>
              <w:rPr>
                <w:rFonts w:hint="eastAsia" w:ascii="宋体" w:hAnsi="宋体" w:eastAsia="宋体" w:cs="宋体"/>
              </w:rPr>
              <w:t>●权限信息如角色、全息档案试视图类型的设置、转诊权限的设置、数据查看权限的设置、计划查看权限的设置、呼叫中心权限的设置等。</w:t>
            </w:r>
          </w:p>
          <w:p>
            <w:pPr>
              <w:widowControl/>
              <w:spacing w:line="360" w:lineRule="auto"/>
              <w:jc w:val="left"/>
              <w:textAlignment w:val="center"/>
              <w:rPr>
                <w:rFonts w:ascii="宋体" w:hAnsi="宋体" w:eastAsia="宋体" w:cs="宋体"/>
              </w:rPr>
            </w:pPr>
            <w:r>
              <w:rPr>
                <w:rFonts w:hint="eastAsia" w:ascii="宋体" w:hAnsi="宋体" w:eastAsia="宋体" w:cs="宋体"/>
              </w:rPr>
              <w:t>角色管理包括系统模块、子模块以及下级功能菜单的权限配置，可用于用户权限配置关联。</w:t>
            </w:r>
          </w:p>
          <w:p>
            <w:pPr>
              <w:widowControl/>
              <w:spacing w:line="360" w:lineRule="auto"/>
              <w:jc w:val="left"/>
              <w:textAlignment w:val="center"/>
              <w:rPr>
                <w:rFonts w:ascii="宋体" w:hAnsi="宋体" w:eastAsia="宋体" w:cs="宋体"/>
              </w:rPr>
            </w:pPr>
            <w:r>
              <w:rPr>
                <w:rFonts w:hint="eastAsia" w:ascii="宋体" w:hAnsi="宋体" w:eastAsia="宋体" w:cs="宋体"/>
              </w:rPr>
              <w:t>科室管理包括科室代码、科室名称、上级科室代码、上级科室名称、拼音码、科室电话、顺序号的设置。</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rPr>
              <w:t>全息档案管理可选择全息档案的显示功能模块与子模块，如健康档案、医疗档案、业务管理、业务记录的选择，以及这些模块的下级内容的设置。</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字典管理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包括职称、满意度统计项等字典表。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900"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呼叫管理</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一键外呼</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提供按钮式的电话拨打功能，通过电话端点击按钮，即可发起随访，满意度调查电话；</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呼出电话与医院语音网关绑定线路电话保持一致。</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通话记录与录音管理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支持后台实时记录通话内容并关联随访或满意度调查记录；</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支持通话录音与通话记录的长期保存存档，并可随时调取播放。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手机号码归属地</w:t>
            </w:r>
          </w:p>
        </w:tc>
        <w:tc>
          <w:tcPr>
            <w:tcW w:w="4972" w:type="dxa"/>
            <w:tcBorders>
              <w:top w:val="single" w:color="000000" w:sz="4" w:space="0"/>
              <w:left w:val="single" w:color="000000" w:sz="4" w:space="0"/>
              <w:bottom w:val="nil"/>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呼叫时可查看患者手机号码归属地，可区分患者是否为本地患者。</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短信平台</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定时任务</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支持制定短信定时任务，按科室，疾病等条件筛选门诊，住院，出院患者进行短信通知或到点提醒；</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快速发送</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提供在随访等场景下快速唤起短信发送界面，实时发送短信给患者；</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12"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自动发送</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支持在随访，健康宣教任务中根据随访途径自动发送对应内容给患者；</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900"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短信记录</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短信记录：支持查看通过系统发送的所有短信记录，支持根据发送时间、接收人、接收人电话、发送人、发送科室等条件进行查询，可查看发送状态；</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900"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短信平台对接</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支持与院方短信平台对接，实现短信推送服务（如普通短信的提醒、复诊提醒、生日祝福，带链接形式短信的宣教推送、满意度调查问卷推送、随访问卷/表单的推送）；</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微信平台</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微信平台对接</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支持与院方官方微信进行对接（须提供微信服务号），实现微信推送服务，如微信随访、微信宣教、微信复诊提醒等。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00" w:hRule="atLeast"/>
        </w:trPr>
        <w:tc>
          <w:tcPr>
            <w:tcW w:w="0" w:type="auto"/>
            <w:vMerge w:val="restart"/>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b/>
                <w:color w:val="000000"/>
                <w:szCs w:val="21"/>
              </w:rPr>
            </w:pPr>
            <w:r>
              <w:rPr>
                <w:rFonts w:hint="eastAsia" w:ascii="宋体" w:hAnsi="宋体" w:eastAsia="宋体" w:cs="宋体"/>
                <w:b/>
                <w:color w:val="000000"/>
                <w:kern w:val="0"/>
                <w:szCs w:val="21"/>
                <w:lang w:bidi="ar"/>
              </w:rPr>
              <w:t>病区护士随访子系统</w:t>
            </w: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病区随访</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内置病区随访场景</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按病区出院7-15天患者随访</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5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病区随访业务配置</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初次概览随访业务的配置信息，可修改并启动业务；后续可根据业务变动进行配置更改。</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支持按出院患者来源，随访人员、计划随访时间、抽取比例的设置</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支持按病区设置不同的随访问卷</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●支持多种随访任务设置：如普通随访、定时随访、阶段随访</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患者筛选引擎</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所有需要随访的患者，均通过预先设置的条件，每天定时自动筛选符合条件的患者，支持按比例、数量抽取患者并生成相应的随访任务。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病区微信随访</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支持微信渠道开展随访，推送随访问卷到微信公众号，患者可在手机端接收并填写。</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病区短信随访</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支持短信渠道开展随访，推送带链接短信到患者手机端，患者在手机端填写并提交随访问卷。</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病区电话随访</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支持通过电话随访方式，对患者进行随访（可一键拨号，通话过程全程录音）。</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病区随访任务推送引擎</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支持实时或指定时间点推送随访问卷。</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●支持AI电话、APP、微信、短信、等管道的优先级设置，</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如系统开通微信随访功能，自动识别已关注并绑定医院微信服务号的患者，采取微信随访方式，不推送短信。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8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病区随访结果跟踪处理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可直观的展现患者的随访情况，例如是否回复，是否异常等；</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患者回复无异常情况，支持随访任务自动完成。</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支持对随访结果异常的患者进行回访沟通，明确异常情况，记录结果。</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●支持微信随访、短信随访下，患者回复有异常情况下，系统自动生成提醒内容并通知随访人员（短信），且自动生成宣教任务并推送，或转交给其他异常处理人员</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患者过滤管理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可设置是否开启自动过滤选项，包括：死亡患者、频繁就诊、联系方式无效等。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9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病区随访业务统计</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内置随访业务统计，包含按科室/病区统计、按问卷统计、按随访人员统计随访量、随访率、失访率；</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支持结果打印与导出Excel。</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健康宣教</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内置宣教场景</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按病区入院患者宣教、出院患者宣教</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宣教业务配置</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初次概览宣教业务的配置信息，可修改并启动业务；后续可根据业务变动进行配置更改。</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支持按住院患者、科室/病区设置不同的出入院宣教时间、宣教内容。</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自动过滤死亡患者。</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患者筛选引擎</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每天定时按科室/病区自动筛选患者，按照预先设置的宣教规则，针对需要宣教的患者生成宣教发送任务。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微信宣教</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支持微信渠道开展宣教，推送宣教内容到微信公众号，患者可在手机端接收并查阅。</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短信宣教</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支持短信渠道开展宣教，推送带链接短信到患者手机端，患者在手机端接收并查阅宣教内容。</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宣教任务推送引擎</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支持实时或指定时间点推送宣教内容。</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支持微信、短信渠道的优先级设置，如系统开通微信宣教功能，自动识别已关注并绑定医院微信服务号的患者，采取微信宣教方式，不推送短信。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宣教结果跟踪处理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●可直观的展现患者的宣教执行情况，例如是否已发送、是否已读等；</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支持对宣教未读的患者再次发送宣教。</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在院宣教</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●可对在院患者进行点对点的宣教，推送带链接的短信或者微信等方式的宣教内容到患者手机端</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5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宣教业务统计</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内置宣教业务统计，包括：按科室/病区、按医护人员统计（医护人员宣教工作量、宣教途径、宣教类别汇总）；</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●按宣教内容统计宣教阅读率（已读次数/发送次数）；按科室/病区统计在院宣教覆盖率和宣教阅读率；</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按宣教内容的效果评分（按科室/病区汇总）</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支持结果打印与导出Excel。</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9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提醒中心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提醒路径管理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提醒路径设置主要是可从知识库选择预设的提醒规则，也可以直接设置新的提醒规则，实现个性化的提醒路径设置，如门诊后X天、住院后X天、出院后X天等。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微信提醒</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通过微信提醒方式，系统根据设定的提醒规则，按照设定的时间，自动推送提醒内容到患者手机。</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短信提醒</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通过短信提醒方式，系统根据设定的提醒规则，按照设定的时间，自动推送提醒内容到患者手机；</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00" w:hRule="atLeast"/>
        </w:trPr>
        <w:tc>
          <w:tcPr>
            <w:tcW w:w="0" w:type="auto"/>
            <w:vMerge w:val="restart"/>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b/>
                <w:color w:val="000000"/>
                <w:szCs w:val="21"/>
              </w:rPr>
            </w:pPr>
            <w:r>
              <w:rPr>
                <w:rFonts w:hint="eastAsia" w:ascii="宋体" w:hAnsi="宋体" w:eastAsia="宋体" w:cs="宋体"/>
                <w:b/>
                <w:color w:val="000000"/>
                <w:kern w:val="0"/>
                <w:szCs w:val="21"/>
                <w:lang w:bidi="ar"/>
              </w:rPr>
              <w:t>满意度管理子系统</w:t>
            </w: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患者满意度调查</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内置病区调查场景</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出院患者满意度调查及后续处理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5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病区调查业务配置</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初次概览出院满意度调查的设置信息，可修改并启动业务；后续可根据业务变动进行配置更改。</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支持按出院患者来源，调查病区、调查人员、计划调查时间、抽取比例的设置</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支持按病区设置不同的满意度调查问卷</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患者筛选引擎</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所有需要调查的患者，均通过预先设置的条件（门诊、住院等），每天定时自动筛选符合条件的患者，</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●抽样方式多样化：按照调查总数比例、按照科室固定比例、按照数量抽取患者并生成相应的调查任务。</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●支持计划互斥、支持仅筛选有电话号码的患者、支持设置N天内部重复入档</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微信满意度调查</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支持微信渠道开展调查，推送调查问卷到微信公众号，患者可在手机端接收并填写。</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短信满意度调查</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支持短信渠道开展调查，推送带链接短信到患者手机端，患者在手机端填写并提交调查问卷。</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电话满意度调查</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通过电话调查方式，对患者进行调查。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调查任务推送引擎</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支持实时或指定时间点推送满意度问卷。</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●支持APP、微信、短信优先级发送设置</w:t>
            </w:r>
          </w:p>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如系统开通微信满意度调查功能，自动识别已关注并绑定医院微信服务号的患者/职工，采取微信满意度调查方式，不推送短信。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调查结果跟踪处理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Style w:val="44"/>
                <w:rFonts w:hint="default" w:ascii="宋体" w:hAnsi="宋体" w:eastAsia="宋体" w:cs="宋体"/>
                <w:sz w:val="21"/>
                <w:szCs w:val="21"/>
                <w:lang w:bidi="ar"/>
              </w:rPr>
            </w:pPr>
            <w:r>
              <w:rPr>
                <w:rStyle w:val="44"/>
                <w:rFonts w:ascii="宋体" w:hAnsi="宋体" w:eastAsia="宋体" w:cs="宋体"/>
                <w:sz w:val="21"/>
                <w:szCs w:val="21"/>
                <w:lang w:bidi="ar"/>
              </w:rPr>
              <w:t>●可在列表上直观的展现患者的满意度调查情况，例如是否回复，是否异常、回复方式等</w:t>
            </w:r>
          </w:p>
          <w:p>
            <w:pPr>
              <w:widowControl/>
              <w:spacing w:line="360" w:lineRule="auto"/>
              <w:jc w:val="left"/>
              <w:textAlignment w:val="center"/>
              <w:rPr>
                <w:rStyle w:val="44"/>
                <w:rFonts w:hint="default" w:ascii="宋体" w:hAnsi="宋体" w:eastAsia="宋体" w:cs="宋体"/>
                <w:sz w:val="21"/>
                <w:szCs w:val="21"/>
                <w:lang w:bidi="ar"/>
              </w:rPr>
            </w:pPr>
            <w:r>
              <w:rPr>
                <w:rStyle w:val="44"/>
                <w:rFonts w:ascii="宋体" w:hAnsi="宋体" w:eastAsia="宋体" w:cs="宋体"/>
                <w:sz w:val="21"/>
                <w:szCs w:val="21"/>
                <w:lang w:bidi="ar"/>
              </w:rPr>
              <w:t>患者回复无异常情况，支持满意度调查任务自动完成。</w:t>
            </w:r>
          </w:p>
          <w:p>
            <w:pPr>
              <w:widowControl/>
              <w:spacing w:line="360" w:lineRule="auto"/>
              <w:jc w:val="left"/>
              <w:textAlignment w:val="center"/>
              <w:rPr>
                <w:rFonts w:ascii="宋体" w:hAnsi="宋体" w:eastAsia="宋体" w:cs="宋体"/>
                <w:color w:val="000000"/>
                <w:szCs w:val="21"/>
              </w:rPr>
            </w:pPr>
            <w:r>
              <w:rPr>
                <w:rStyle w:val="44"/>
                <w:rFonts w:ascii="宋体" w:hAnsi="宋体" w:eastAsia="宋体" w:cs="宋体"/>
                <w:sz w:val="21"/>
                <w:szCs w:val="21"/>
                <w:lang w:bidi="ar"/>
              </w:rPr>
              <w:t>支持对满意度调查结果异常的患者进行回访沟通，明确异常情况，记录结果。</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患者过滤管理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手动维护的过滤名单：手工将患者加入名单，系统筛选时自动过滤这些患者；</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可设置是否开启自动过滤选项，包括：死亡患者、频繁就诊、联系方式无效等。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9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病区调查业务统计</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内置满意度调查业务统计，包含按病区统计、按问卷统计、按题目分类、按单题统计；</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支持结果打印与导出Excel。</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9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二维码满意度调查</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●支持PC端为医院科室或病区个性化配置二维码满意度调查问卷，患者扫描二维码做满意度调查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受理流转插件</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异常任务流转</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●支持满意度调查的处理科室及人员配置，支持异常任务自动指派到处理科室，处理科室处理并提交处理结果；</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异常处理审核</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调查科室负责人对处理结果审核，选择结束或再次手动指派给科室处理，直至完成异常任务处理。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00" w:hRule="atLeast"/>
        </w:trPr>
        <w:tc>
          <w:tcPr>
            <w:tcW w:w="0" w:type="auto"/>
            <w:vMerge w:val="continue"/>
            <w:tcBorders>
              <w:top w:val="single" w:color="000000" w:sz="4" w:space="0"/>
              <w:bottom w:val="nil"/>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调查回收控制</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支持自定义配置样本回收数量，保证各科室评价公平性。</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0" w:type="auto"/>
            <w:vMerge w:val="restart"/>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b/>
                <w:color w:val="000000"/>
                <w:szCs w:val="21"/>
              </w:rPr>
            </w:pPr>
            <w:r>
              <w:rPr>
                <w:rFonts w:hint="eastAsia" w:ascii="宋体" w:hAnsi="宋体" w:eastAsia="宋体" w:cs="宋体"/>
                <w:b/>
                <w:color w:val="000000"/>
                <w:kern w:val="0"/>
                <w:szCs w:val="21"/>
                <w:lang w:bidi="ar"/>
              </w:rPr>
              <w:t>知识库管理</w:t>
            </w: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基础知识库</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随访内容维护</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提供标准化随访内容维护服务。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随访问卷/表单知识库</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提供标准随访表单20份。</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满意度调查问卷维护</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提供标准化满意度调查问卷维护服务。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宣教知识库</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●提供数千份宣教内容，可支持宣教内容维护，支持图片、视频等多形式进行自主编辑内容，格式，排版。</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提醒短语库</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提供提醒短语库的维护管理。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疾病知识库</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提供600种以上疾病知识库</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0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药品知识库</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提供4000种药品知识库。</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0" w:type="auto"/>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b/>
                <w:color w:val="000000"/>
                <w:szCs w:val="21"/>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rPr>
                <w:rFonts w:ascii="宋体" w:hAnsi="宋体" w:eastAsia="宋体" w:cs="宋体"/>
                <w:color w:val="000000"/>
                <w:szCs w:val="21"/>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急救指导知识库</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提供100种以上急救指导知识库。</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restart"/>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b/>
                <w:bCs/>
                <w:color w:val="000000"/>
                <w:kern w:val="0"/>
                <w:szCs w:val="21"/>
                <w:lang w:bidi="ar"/>
              </w:rPr>
              <w:t>客服中心随访子系统</w:t>
            </w: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客服中心随访</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内置客服随访场景</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支持医院出院7天内患者随访</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客服随访业务配置</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初次概览随访业务的配置信息，可修改并启动业务；后续可根据业务变动进行配置更改。</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支持按出院患者来源，随访人员、计划随访时间、抽取比例的设置</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●支持多种随访任务设置：如普通随访、定时随访、阶段随访</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客服随访患者筛选引擎</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所有需要随访的患者，均通过预先设置的条件，每天定时自动筛选符合条件的患者，支持按比例、数量抽取患者并生成相应的随访任务。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客服微信随访</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支持微信渠道开展随访，推送随访问卷到微信服务号，患者可在手机端接收并填写。</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客服短信随访</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支持短信渠道开展随访，推送带链接短信到患者手机端，患者在手机端填写并提交随访问卷。</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客服电话随访</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支持通过电话随访方式，对患者进行随访（可一键拨号，通话过程全程录音）。</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客服随访任务推送引擎</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支持实时或指定时间点推送随访问卷。</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支持微信、短信、电话渠道的优先级设置，如系统开通微信随访功能，自动识别已关注并绑定医院微信服务号的患者，采取微信随访方式，不推送短信。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客服随访结果跟踪处理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可直观的展现患者的随访情况，例如是否回复，是否异常等；</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患者回复无异常情况，支持随访任务自动完成。</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●支持患者回复异常时手机消息提醒给管理人员的配置</w:t>
            </w:r>
          </w:p>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支持对随访结果异常的患者进行回访沟通，明确异常情况，记录结果。</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患者过滤管理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可设置是否开启自动过滤选项，包括：死亡患者、频繁就诊、联系方式无效等。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客服随访业务统计</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内置随访业务统计，包含按科室/病区统计、按问卷统计、按随访人员统计随访量、随访率、失访率；</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支持结果打印与导出Excel。</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投诉表扬</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投诉表扬登记</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在随访、抽查及满意度过程中发现患者有投诉、提出改进意见或表示赞誉的时候，可进行及时登记投诉表扬内容，并指派具体负责人员处理。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投诉表扬处理</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支持医护人员在PC端按投诉表扬状态进行查询和投诉表扬的处理。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投诉表扬配置</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支持配置处理科室及处理人员。</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rPr>
                <w:rFonts w:ascii="宋体" w:hAnsi="宋体" w:eastAsia="宋体" w:cs="宋体"/>
                <w:color w:val="000000"/>
                <w:kern w:val="0"/>
                <w:szCs w:val="21"/>
                <w:lang w:bidi="ar"/>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投诉表扬统计</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支持投诉表扬业务统计，包含按分类（投诉或表扬）、按科室统计投诉/表扬内容、业务量、处理情况、处理结果；</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支持结果打印与导出Excel。</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预约挂号</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预约挂号</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与医院预约挂号接口对接；</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当患者有需求时，医护人员可以在PC端帮助患者进行预约挂号。</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vMerge w:val="continue"/>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360" w:lineRule="auto"/>
              <w:jc w:val="center"/>
              <w:rPr>
                <w:rFonts w:ascii="宋体" w:hAnsi="宋体" w:eastAsia="宋体" w:cs="宋体"/>
                <w:color w:val="000000"/>
                <w:kern w:val="0"/>
                <w:szCs w:val="21"/>
                <w:lang w:bidi="ar"/>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满意度调查</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满意度调查</w:t>
            </w:r>
          </w:p>
        </w:tc>
        <w:tc>
          <w:tcPr>
            <w:tcW w:w="4972" w:type="dxa"/>
            <w:tcBorders>
              <w:top w:val="single" w:color="000000" w:sz="4" w:space="0"/>
              <w:left w:val="single" w:color="000000" w:sz="4" w:space="0"/>
              <w:bottom w:val="single" w:color="000000" w:sz="4" w:space="0"/>
            </w:tcBorders>
            <w:shd w:val="clear" w:color="auto" w:fill="auto"/>
            <w:tcMar>
              <w:top w:w="12" w:type="dxa"/>
              <w:left w:w="12" w:type="dxa"/>
              <w:right w:w="12" w:type="dxa"/>
            </w:tcMar>
            <w:vAlign w:val="center"/>
          </w:tcPr>
          <w:p>
            <w:pPr>
              <w:widowControl/>
              <w:spacing w:line="360" w:lineRule="auto"/>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扩展门诊满意度调查功能，均通过预先设置的条件，每天定时自动筛选符合条件的患者，支持按比例、数量抽取患者并生成相应的调查任务。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40" w:hRule="atLeast"/>
        </w:trPr>
        <w:tc>
          <w:tcPr>
            <w:tcW w:w="1385" w:type="dxa"/>
            <w:tcBorders>
              <w:top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b/>
                <w:bCs/>
                <w:color w:val="000000"/>
                <w:kern w:val="0"/>
                <w:szCs w:val="21"/>
                <w:lang w:bidi="ar"/>
              </w:rPr>
              <w:t>其他改造</w:t>
            </w:r>
          </w:p>
        </w:tc>
        <w:tc>
          <w:tcPr>
            <w:tcW w:w="694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360" w:lineRule="auto"/>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对接集成平台回传随访状态等，单点登录，订阅主数据（人员、科室）等</w:t>
            </w:r>
          </w:p>
        </w:tc>
      </w:tr>
    </w:tbl>
    <w:p>
      <w:pPr>
        <w:pStyle w:val="26"/>
        <w:rPr>
          <w:rFonts w:hAnsi="宋体"/>
        </w:rPr>
      </w:pPr>
    </w:p>
    <w:p>
      <w:pPr>
        <w:pStyle w:val="4"/>
        <w:numPr>
          <w:ilvl w:val="0"/>
          <w:numId w:val="16"/>
        </w:numPr>
        <w:tabs>
          <w:tab w:val="left" w:pos="360"/>
        </w:tabs>
        <w:spacing w:before="120"/>
        <w:ind w:left="0" w:firstLine="0"/>
        <w:rPr>
          <w:rFonts w:ascii="宋体" w:hAnsi="宋体" w:cs="宋体"/>
          <w:color w:val="000000"/>
        </w:rPr>
      </w:pPr>
      <w:bookmarkStart w:id="18" w:name="_Toc63185252"/>
      <w:r>
        <w:rPr>
          <w:rFonts w:hint="eastAsia" w:ascii="宋体" w:hAnsi="宋体" w:cs="宋体"/>
          <w:color w:val="000000"/>
        </w:rPr>
        <w:t>实施及商务要求</w:t>
      </w:r>
      <w:bookmarkEnd w:id="18"/>
    </w:p>
    <w:p>
      <w:pPr>
        <w:widowControl/>
        <w:numPr>
          <w:ilvl w:val="0"/>
          <w:numId w:val="20"/>
        </w:num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增值服务</w:t>
      </w:r>
    </w:p>
    <w:p>
      <w:pPr>
        <w:widowControl/>
        <w:spacing w:line="360" w:lineRule="auto"/>
        <w:ind w:firstLine="630" w:firstLineChars="300"/>
        <w:rPr>
          <w:rFonts w:ascii="宋体" w:hAnsi="宋体" w:eastAsia="宋体" w:cs="宋体"/>
          <w:szCs w:val="21"/>
          <w:highlight w:val="none"/>
        </w:rPr>
      </w:pPr>
      <w:r>
        <w:rPr>
          <w:rFonts w:hint="eastAsia" w:ascii="宋体" w:hAnsi="宋体" w:eastAsia="宋体" w:cs="宋体"/>
          <w:szCs w:val="21"/>
          <w:highlight w:val="none"/>
        </w:rPr>
        <w:t>投标人应有能力提供院后精细化管理增值服务。精细化管理服务项目（增值服务）包含：精细化管理操作系统，成熟的管理团队（客服中心团队，线下运营团队、线上健康管理团队），成熟的管理方案和管理路径等。</w:t>
      </w:r>
    </w:p>
    <w:p>
      <w:pPr>
        <w:pStyle w:val="25"/>
      </w:pP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2.付款方式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合同签订后15个工作日内甲方向乙方支付合同总额的30%的预付款；项目服务所需环境安装调试、投入运行，试运行至少2个月，乙方向甲方提出初验申请，初验通过之日起计算一年服务期，初验通过甲方向乙方支付合同总额的60%款项；服务期满后15个工作日内，甲方向乙方支付剩余合同总额的10%款项。</w:t>
      </w:r>
    </w:p>
    <w:p>
      <w:pPr>
        <w:autoSpaceDE w:val="0"/>
        <w:autoSpaceDN w:val="0"/>
        <w:adjustRightInd w:val="0"/>
        <w:jc w:val="left"/>
        <w:rPr>
          <w:rFonts w:ascii="宋体" w:hAnsi="宋体" w:eastAsia="宋体" w:cs="宋体"/>
          <w:szCs w:val="21"/>
        </w:rPr>
      </w:pP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3.维护服务</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3.1维护服务期</w:t>
      </w:r>
      <w:r>
        <w:rPr>
          <w:rFonts w:hint="eastAsia" w:ascii="宋体" w:hAnsi="宋体" w:eastAsia="宋体" w:cs="宋体"/>
          <w:szCs w:val="21"/>
          <w:u w:val="single"/>
        </w:rPr>
        <w:t xml:space="preserve"> 壹 </w:t>
      </w:r>
      <w:r>
        <w:rPr>
          <w:rFonts w:hint="eastAsia" w:ascii="宋体" w:hAnsi="宋体" w:eastAsia="宋体" w:cs="宋体"/>
          <w:szCs w:val="21"/>
        </w:rPr>
        <w:t>年。</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3.2投标人所承诺的服务内容应包括：投标人的服务响应及维修等承诺，详细说明服务能力、服务时间、人员配备、系统故障响应、诊断、应急处理、维修和相应的设备更换计划等；投标人的技术支持和相应软件的升级承诺等。</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3.3在系统的服务期内，投标人应确保系统的正常使用。在接到用户服务要求后应立即做出回应，并在承诺的服务时间内实施服务。</w:t>
      </w:r>
    </w:p>
    <w:p>
      <w:pPr>
        <w:widowControl/>
        <w:spacing w:line="360" w:lineRule="auto"/>
        <w:rPr>
          <w:rFonts w:ascii="宋体" w:hAnsi="宋体" w:eastAsia="宋体" w:cs="宋体"/>
          <w:szCs w:val="21"/>
        </w:rPr>
      </w:pPr>
      <w:r>
        <w:rPr>
          <w:rFonts w:hint="eastAsia" w:ascii="宋体" w:hAnsi="宋体" w:eastAsia="宋体" w:cs="宋体"/>
          <w:kern w:val="0"/>
          <w:sz w:val="24"/>
          <w:szCs w:val="24"/>
        </w:rPr>
        <w:t xml:space="preserve">    </w:t>
      </w:r>
      <w:r>
        <w:rPr>
          <w:rFonts w:hint="eastAsia" w:ascii="宋体" w:hAnsi="宋体" w:eastAsia="宋体" w:cs="宋体"/>
          <w:szCs w:val="21"/>
        </w:rPr>
        <w:t>3.4 7×24小时的免费上门保修服务半小时内响应，4小时内到达现场，24小时内解决故障。</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3.5热线电话服务提供技术咨询、故障诊断、故障排除、以及现场支持等具体的技术支持工作，并对客户投诉做出相应处理。</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3.6定期巡检及调优系统，复杂的运行环境等种种原因会造成系统性能的逐渐下降。通过定期的技术检查，可及时排除故障隐患，以免问题发生后影响业务运作，还能及时调优系统性能，使系统始终处于高效率运行状态，提供月工作报告，含线上和线下系统运行检查和需求收集工作。</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4、培训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4.1培训：投标人应制定详细的培训计划，对使用人员进行操作及相关技术培训。投标人负责用户的现场技术培训，包括产品的功能、部署条件、部署步骤和注意事项、产品升级、日常维护事项等方面，使用户达到能独立进行管理、维护测试和故障处理等工作，以使所提供的软件产品能够正常、安全的运行。</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4.2所有的培训费用必须计入投标总价。</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5、交货及安装调试</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5.1安装地点：医院指定地点。</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5.2实施周期：自合同签订后90天内，软件系统到货、安装完成。如在规定的时间内由于投标商的原因不能完成安装和调试，投标商应承担由此给用户造成的损失。</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5.3安装标准：符合我国国家有关技术规范要求和技术标准。</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5.4安装调试过程中发生的费用由投标商负责。</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5.5投标商应在投标文件中提供其安装调试过程中医院需配合的内容。</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5.6在项目实施过程中，向医院提供齐全的电子版和书面的操作说明等文档。</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6、验收</w:t>
      </w:r>
    </w:p>
    <w:p>
      <w:pPr>
        <w:widowControl/>
        <w:tabs>
          <w:tab w:val="left" w:pos="7018"/>
        </w:tabs>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highlight w:val="none"/>
        </w:rPr>
        <w:t>6.1根据长兴县长政办发〔2018〕124号文件对项目进行验收。</w:t>
      </w:r>
      <w:r>
        <w:rPr>
          <w:rFonts w:hint="eastAsia" w:ascii="宋体" w:hAnsi="宋体" w:eastAsia="宋体" w:cs="宋体"/>
          <w:szCs w:val="21"/>
          <w:highlight w:val="none"/>
          <w:lang w:eastAsia="zh-CN"/>
        </w:rPr>
        <w:tab/>
      </w:r>
    </w:p>
    <w:p>
      <w:pPr>
        <w:widowControl/>
        <w:spacing w:line="360" w:lineRule="auto"/>
        <w:rPr>
          <w:rFonts w:ascii="宋体" w:hAnsi="宋体" w:eastAsia="宋体" w:cs="宋体"/>
          <w:szCs w:val="21"/>
        </w:rPr>
      </w:pPr>
      <w:r>
        <w:rPr>
          <w:rFonts w:hint="eastAsia" w:ascii="宋体" w:hAnsi="宋体" w:eastAsia="宋体" w:cs="宋体"/>
          <w:szCs w:val="21"/>
        </w:rPr>
        <w:t xml:space="preserve">    6.2因本项目用户实际新增或系统升级引起的软件功能与现有招标建设内容要求有所出入的，不作为不符合或不满足招标人要求的条件，应视为项目合格。 </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7、报价方式</w:t>
      </w:r>
    </w:p>
    <w:p>
      <w:pPr>
        <w:widowControl/>
        <w:spacing w:line="360" w:lineRule="auto"/>
        <w:ind w:firstLine="480"/>
        <w:rPr>
          <w:rFonts w:ascii="宋体" w:hAnsi="宋体" w:eastAsia="宋体" w:cs="宋体"/>
          <w:szCs w:val="21"/>
        </w:rPr>
      </w:pPr>
      <w:r>
        <w:rPr>
          <w:rFonts w:hint="eastAsia" w:ascii="宋体" w:hAnsi="宋体" w:eastAsia="宋体" w:cs="宋体"/>
          <w:szCs w:val="21"/>
        </w:rPr>
        <w:t>7.1所有报价为到医院人民币价（含一切税费、安装调试等伴随服务费）。</w:t>
      </w:r>
    </w:p>
    <w:p>
      <w:pPr>
        <w:autoSpaceDE w:val="0"/>
        <w:autoSpaceDN w:val="0"/>
        <w:adjustRightInd w:val="0"/>
        <w:jc w:val="left"/>
        <w:rPr>
          <w:rFonts w:ascii="宋体" w:hAnsi="宋体" w:eastAsia="宋体" w:cs="宋体"/>
          <w:color w:val="000000"/>
          <w:kern w:val="0"/>
          <w:sz w:val="24"/>
          <w:szCs w:val="24"/>
        </w:rPr>
      </w:pPr>
    </w:p>
    <w:p>
      <w:pPr>
        <w:pStyle w:val="3"/>
        <w:rPr>
          <w:rFonts w:ascii="宋体" w:hAnsi="宋体" w:cs="宋体"/>
          <w:color w:val="000000"/>
        </w:rPr>
      </w:pPr>
      <w:bookmarkStart w:id="19" w:name="_Toc63185253"/>
      <w:r>
        <w:rPr>
          <w:rFonts w:hint="eastAsia" w:ascii="宋体" w:hAnsi="宋体" w:cs="宋体"/>
          <w:color w:val="000000"/>
        </w:rPr>
        <w:t>4、评分标准与细则</w:t>
      </w:r>
      <w:bookmarkEnd w:id="19"/>
    </w:p>
    <w:p>
      <w:pPr>
        <w:numPr>
          <w:ilvl w:val="0"/>
          <w:numId w:val="1"/>
        </w:numPr>
        <w:spacing w:line="360" w:lineRule="auto"/>
        <w:rPr>
          <w:rFonts w:ascii="宋体" w:hAnsi="宋体" w:eastAsia="宋体" w:cs="宋体"/>
          <w:color w:val="000000"/>
          <w:szCs w:val="21"/>
        </w:rPr>
      </w:pPr>
      <w:r>
        <w:rPr>
          <w:rFonts w:hint="eastAsia" w:ascii="宋体" w:hAnsi="宋体" w:eastAsia="宋体" w:cs="宋体"/>
          <w:color w:val="000000"/>
          <w:szCs w:val="21"/>
        </w:rPr>
        <w:t>资信技术部分（合计80分）</w:t>
      </w:r>
    </w:p>
    <w:p>
      <w:pPr>
        <w:widowControl/>
        <w:spacing w:line="360" w:lineRule="auto"/>
        <w:ind w:firstLine="422"/>
        <w:rPr>
          <w:rFonts w:ascii="宋体" w:hAnsi="宋体" w:eastAsia="宋体" w:cs="宋体"/>
          <w:color w:val="000000"/>
          <w:szCs w:val="21"/>
        </w:rPr>
      </w:pPr>
      <w:r>
        <w:rPr>
          <w:rFonts w:hint="eastAsia" w:ascii="宋体" w:hAnsi="宋体" w:eastAsia="宋体" w:cs="宋体"/>
          <w:color w:val="000000"/>
          <w:szCs w:val="21"/>
        </w:rPr>
        <w:t>评标委员会对各投标人的技术和服务方案、资信业绩充分审核、讨论及评议后，每人一份评分表，进行独自打分并签名。在统计得分时，如发现某一单项评分超过评分细则规定的分值范围，则该张评分表无效。投标人技术部分的得分为评标委员会各成员的有效评分的算术平均值。</w:t>
      </w:r>
    </w:p>
    <w:tbl>
      <w:tblPr>
        <w:tblStyle w:val="21"/>
        <w:tblW w:w="866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133"/>
        <w:gridCol w:w="5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559" w:type="dxa"/>
            <w:vAlign w:val="center"/>
          </w:tcPr>
          <w:p>
            <w:pPr>
              <w:widowControl/>
              <w:rPr>
                <w:rFonts w:ascii="宋体" w:hAnsi="宋体" w:eastAsia="宋体" w:cs="宋体"/>
                <w:color w:val="000000"/>
                <w:szCs w:val="21"/>
              </w:rPr>
            </w:pPr>
            <w:r>
              <w:rPr>
                <w:rFonts w:hint="eastAsia" w:ascii="宋体" w:hAnsi="宋体" w:eastAsia="宋体" w:cs="宋体"/>
                <w:color w:val="000000"/>
                <w:szCs w:val="21"/>
              </w:rPr>
              <w:t>评分项目</w:t>
            </w:r>
          </w:p>
        </w:tc>
        <w:tc>
          <w:tcPr>
            <w:tcW w:w="1133" w:type="dxa"/>
            <w:vAlign w:val="center"/>
          </w:tcPr>
          <w:p>
            <w:pPr>
              <w:widowControl/>
              <w:jc w:val="center"/>
              <w:rPr>
                <w:rFonts w:ascii="宋体" w:hAnsi="宋体" w:eastAsia="宋体" w:cs="宋体"/>
                <w:color w:val="000000"/>
                <w:szCs w:val="21"/>
              </w:rPr>
            </w:pPr>
            <w:r>
              <w:rPr>
                <w:rFonts w:hint="eastAsia" w:ascii="宋体" w:hAnsi="宋体" w:eastAsia="宋体" w:cs="宋体"/>
                <w:color w:val="000000"/>
                <w:szCs w:val="21"/>
              </w:rPr>
              <w:t>分值</w:t>
            </w:r>
          </w:p>
        </w:tc>
        <w:tc>
          <w:tcPr>
            <w:tcW w:w="5971" w:type="dxa"/>
            <w:vAlign w:val="center"/>
          </w:tcPr>
          <w:p>
            <w:pPr>
              <w:widowControl/>
              <w:rPr>
                <w:rFonts w:ascii="宋体" w:hAnsi="宋体" w:eastAsia="宋体" w:cs="宋体"/>
                <w:color w:val="000000"/>
                <w:szCs w:val="21"/>
              </w:rPr>
            </w:pPr>
            <w:r>
              <w:rPr>
                <w:rFonts w:hint="eastAsia" w:ascii="宋体" w:hAnsi="宋体" w:eastAsia="宋体" w:cs="宋体"/>
                <w:color w:val="000000"/>
                <w:szCs w:val="21"/>
              </w:rPr>
              <w:t>评标要点及说明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Align w:val="center"/>
          </w:tcPr>
          <w:p>
            <w:pPr>
              <w:widowControl/>
              <w:rPr>
                <w:rFonts w:ascii="宋体" w:hAnsi="宋体" w:eastAsia="宋体" w:cs="宋体"/>
                <w:color w:val="000000"/>
                <w:szCs w:val="21"/>
              </w:rPr>
            </w:pPr>
            <w:r>
              <w:rPr>
                <w:rFonts w:hint="eastAsia" w:ascii="宋体" w:hAnsi="宋体" w:eastAsia="宋体" w:cs="宋体"/>
                <w:color w:val="000000"/>
                <w:szCs w:val="21"/>
              </w:rPr>
              <w:t>企业资质</w:t>
            </w:r>
          </w:p>
        </w:tc>
        <w:tc>
          <w:tcPr>
            <w:tcW w:w="1133" w:type="dxa"/>
            <w:vAlign w:val="center"/>
          </w:tcPr>
          <w:p>
            <w:pPr>
              <w:widowControl/>
              <w:jc w:val="center"/>
              <w:rPr>
                <w:rFonts w:ascii="宋体" w:hAnsi="宋体" w:eastAsia="宋体" w:cs="宋体"/>
                <w:color w:val="000000"/>
                <w:szCs w:val="21"/>
              </w:rPr>
            </w:pPr>
            <w:r>
              <w:rPr>
                <w:rFonts w:hint="eastAsia" w:ascii="宋体" w:hAnsi="宋体" w:eastAsia="宋体" w:cs="宋体"/>
                <w:color w:val="000000"/>
                <w:szCs w:val="21"/>
              </w:rPr>
              <w:t>6分</w:t>
            </w:r>
          </w:p>
        </w:tc>
        <w:tc>
          <w:tcPr>
            <w:tcW w:w="5971" w:type="dxa"/>
            <w:vAlign w:val="center"/>
          </w:tcPr>
          <w:p>
            <w:pPr>
              <w:numPr>
                <w:ilvl w:val="0"/>
                <w:numId w:val="21"/>
              </w:numPr>
              <w:adjustRightInd w:val="0"/>
              <w:snapToGrid w:val="0"/>
              <w:spacing w:line="360" w:lineRule="auto"/>
              <w:jc w:val="left"/>
              <w:rPr>
                <w:rFonts w:ascii="宋体" w:hAnsi="宋体" w:eastAsia="宋体" w:cs="宋体"/>
                <w:color w:val="000000"/>
                <w:szCs w:val="21"/>
              </w:rPr>
            </w:pPr>
            <w:r>
              <w:rPr>
                <w:rFonts w:hint="eastAsia" w:ascii="宋体" w:hAnsi="宋体" w:eastAsia="宋体" w:cs="宋体"/>
                <w:color w:val="000000"/>
                <w:szCs w:val="21"/>
              </w:rPr>
              <w:t>投标人具有电信增值业务许可证的，得2分；</w:t>
            </w:r>
          </w:p>
          <w:p>
            <w:pPr>
              <w:numPr>
                <w:ilvl w:val="0"/>
                <w:numId w:val="21"/>
              </w:numPr>
              <w:adjustRightInd w:val="0"/>
              <w:snapToGrid w:val="0"/>
              <w:spacing w:line="360" w:lineRule="auto"/>
              <w:jc w:val="left"/>
              <w:rPr>
                <w:rFonts w:ascii="宋体" w:hAnsi="宋体" w:eastAsia="宋体" w:cs="宋体"/>
                <w:color w:val="000000"/>
                <w:szCs w:val="21"/>
              </w:rPr>
            </w:pPr>
            <w:r>
              <w:rPr>
                <w:rFonts w:hint="eastAsia" w:ascii="宋体" w:hAnsi="宋体" w:eastAsia="宋体" w:cs="宋体"/>
                <w:color w:val="000000"/>
                <w:szCs w:val="21"/>
              </w:rPr>
              <w:t>投标人具有CMMI3及以上证书，得2分；</w:t>
            </w:r>
          </w:p>
          <w:p>
            <w:pPr>
              <w:pStyle w:val="26"/>
              <w:numPr>
                <w:ilvl w:val="0"/>
                <w:numId w:val="21"/>
              </w:numPr>
              <w:rPr>
                <w:rFonts w:hAnsi="宋体"/>
                <w:kern w:val="2"/>
                <w:sz w:val="21"/>
                <w:szCs w:val="21"/>
              </w:rPr>
            </w:pPr>
            <w:r>
              <w:rPr>
                <w:rFonts w:hint="eastAsia" w:hAnsi="宋体"/>
                <w:kern w:val="2"/>
                <w:sz w:val="21"/>
                <w:szCs w:val="21"/>
              </w:rPr>
              <w:t>投标人具有高新技术企业证书的，得2分</w:t>
            </w:r>
          </w:p>
          <w:p>
            <w:pPr>
              <w:widowControl/>
              <w:rPr>
                <w:rFonts w:ascii="宋体" w:hAnsi="宋体" w:eastAsia="宋体" w:cs="宋体"/>
                <w:color w:val="000000"/>
                <w:szCs w:val="21"/>
              </w:rPr>
            </w:pPr>
            <w:r>
              <w:rPr>
                <w:rFonts w:hint="eastAsia" w:ascii="宋体" w:hAnsi="宋体" w:eastAsia="宋体" w:cs="宋体"/>
                <w:szCs w:val="21"/>
              </w:rPr>
              <w:t>注：</w:t>
            </w:r>
            <w:r>
              <w:rPr>
                <w:rFonts w:hint="eastAsia" w:ascii="宋体" w:hAnsi="宋体" w:eastAsia="宋体" w:cs="宋体"/>
                <w:bCs/>
                <w:szCs w:val="21"/>
              </w:rPr>
              <w:t>投标人需提供资质复印件并加盖公章，不提供不得分。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Align w:val="center"/>
          </w:tcPr>
          <w:p>
            <w:pPr>
              <w:widowControl/>
              <w:rPr>
                <w:rFonts w:ascii="宋体" w:hAnsi="宋体" w:eastAsia="宋体" w:cs="宋体"/>
                <w:b w:val="0"/>
                <w:bCs w:val="0"/>
                <w:color w:val="auto"/>
                <w:szCs w:val="21"/>
              </w:rPr>
            </w:pPr>
            <w:r>
              <w:rPr>
                <w:rFonts w:hint="eastAsia" w:ascii="宋体" w:hAnsi="宋体" w:eastAsia="宋体" w:cs="宋体"/>
                <w:b w:val="0"/>
                <w:bCs w:val="0"/>
                <w:color w:val="auto"/>
                <w:szCs w:val="21"/>
              </w:rPr>
              <w:t>软件著作权证书</w:t>
            </w:r>
          </w:p>
        </w:tc>
        <w:tc>
          <w:tcPr>
            <w:tcW w:w="1133" w:type="dxa"/>
            <w:vAlign w:val="center"/>
          </w:tcPr>
          <w:p>
            <w:pPr>
              <w:widowControl/>
              <w:jc w:val="center"/>
              <w:rPr>
                <w:rFonts w:ascii="宋体" w:hAnsi="宋体" w:eastAsia="宋体" w:cs="宋体"/>
                <w:b w:val="0"/>
                <w:bCs w:val="0"/>
                <w:color w:val="auto"/>
                <w:szCs w:val="21"/>
              </w:rPr>
            </w:pPr>
            <w:r>
              <w:rPr>
                <w:rFonts w:hint="eastAsia" w:ascii="宋体" w:hAnsi="宋体" w:eastAsia="宋体" w:cs="宋体"/>
                <w:b w:val="0"/>
                <w:bCs w:val="0"/>
                <w:color w:val="auto"/>
                <w:szCs w:val="21"/>
              </w:rPr>
              <w:t>6分</w:t>
            </w:r>
          </w:p>
        </w:tc>
        <w:tc>
          <w:tcPr>
            <w:tcW w:w="5971" w:type="dxa"/>
            <w:vAlign w:val="center"/>
          </w:tcPr>
          <w:p>
            <w:pPr>
              <w:pStyle w:val="43"/>
              <w:autoSpaceDE w:val="0"/>
              <w:spacing w:line="360" w:lineRule="auto"/>
              <w:rPr>
                <w:rFonts w:eastAsia="宋体"/>
                <w:b w:val="0"/>
                <w:bCs w:val="0"/>
                <w:color w:val="auto"/>
                <w:sz w:val="21"/>
                <w:szCs w:val="21"/>
              </w:rPr>
            </w:pPr>
            <w:r>
              <w:rPr>
                <w:rFonts w:hint="eastAsia" w:eastAsia="宋体"/>
                <w:b w:val="0"/>
                <w:bCs w:val="0"/>
                <w:color w:val="auto"/>
                <w:sz w:val="21"/>
                <w:szCs w:val="21"/>
              </w:rPr>
              <w:t>软件著作权证书：</w:t>
            </w:r>
          </w:p>
          <w:p>
            <w:pPr>
              <w:pStyle w:val="43"/>
              <w:autoSpaceDE w:val="0"/>
              <w:spacing w:line="360" w:lineRule="auto"/>
              <w:rPr>
                <w:rFonts w:eastAsia="宋体"/>
                <w:b w:val="0"/>
                <w:bCs w:val="0"/>
                <w:color w:val="auto"/>
                <w:sz w:val="21"/>
                <w:szCs w:val="21"/>
              </w:rPr>
            </w:pPr>
            <w:r>
              <w:rPr>
                <w:rFonts w:hint="eastAsia" w:eastAsia="宋体"/>
                <w:b w:val="0"/>
                <w:bCs w:val="0"/>
                <w:color w:val="auto"/>
                <w:sz w:val="21"/>
                <w:szCs w:val="21"/>
              </w:rPr>
              <w:t>投标人同时具有人工智能医院随访系统、医患协同信息平台、AI疾病管理跟踪训练系统、医院健康教育系统、知识库管理系统、安全服务系统的软件著作权登记证书，同时具备得6分，每缺一项扣1分，扣完为止。</w:t>
            </w:r>
          </w:p>
          <w:p>
            <w:pPr>
              <w:widowControl/>
              <w:rPr>
                <w:rFonts w:ascii="宋体" w:hAnsi="宋体" w:eastAsia="宋体" w:cs="宋体"/>
                <w:b w:val="0"/>
                <w:bCs w:val="0"/>
                <w:color w:val="auto"/>
                <w:szCs w:val="21"/>
              </w:rPr>
            </w:pPr>
            <w:r>
              <w:rPr>
                <w:rFonts w:hint="eastAsia" w:ascii="宋体" w:hAnsi="宋体" w:eastAsia="宋体" w:cs="宋体"/>
                <w:b w:val="0"/>
                <w:bCs w:val="0"/>
                <w:color w:val="auto"/>
                <w:szCs w:val="21"/>
              </w:rPr>
              <w:t>注：提供证书复印件加盖公章，否则不得分。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Align w:val="center"/>
          </w:tcPr>
          <w:p>
            <w:pPr>
              <w:widowControl/>
              <w:rPr>
                <w:rFonts w:ascii="宋体" w:hAnsi="宋体" w:eastAsia="宋体" w:cs="宋体"/>
                <w:b w:val="0"/>
                <w:bCs w:val="0"/>
                <w:color w:val="auto"/>
                <w:szCs w:val="21"/>
              </w:rPr>
            </w:pPr>
            <w:r>
              <w:rPr>
                <w:rFonts w:hint="eastAsia" w:ascii="宋体" w:hAnsi="宋体" w:eastAsia="宋体" w:cs="宋体"/>
                <w:b w:val="0"/>
                <w:bCs w:val="0"/>
                <w:color w:val="auto"/>
                <w:szCs w:val="21"/>
              </w:rPr>
              <w:t>技术实力</w:t>
            </w:r>
          </w:p>
        </w:tc>
        <w:tc>
          <w:tcPr>
            <w:tcW w:w="1133" w:type="dxa"/>
            <w:vAlign w:val="center"/>
          </w:tcPr>
          <w:p>
            <w:pPr>
              <w:widowControl/>
              <w:jc w:val="center"/>
              <w:rPr>
                <w:rFonts w:ascii="宋体" w:hAnsi="宋体" w:eastAsia="宋体" w:cs="宋体"/>
                <w:b w:val="0"/>
                <w:bCs w:val="0"/>
                <w:color w:val="auto"/>
                <w:szCs w:val="21"/>
              </w:rPr>
            </w:pPr>
            <w:r>
              <w:rPr>
                <w:rFonts w:hint="eastAsia" w:ascii="宋体" w:hAnsi="宋体" w:eastAsia="宋体" w:cs="宋体"/>
                <w:b w:val="0"/>
                <w:bCs w:val="0"/>
                <w:color w:val="auto"/>
                <w:szCs w:val="21"/>
              </w:rPr>
              <w:t>3分</w:t>
            </w:r>
          </w:p>
        </w:tc>
        <w:tc>
          <w:tcPr>
            <w:tcW w:w="5971" w:type="dxa"/>
            <w:vAlign w:val="center"/>
          </w:tcPr>
          <w:p>
            <w:pPr>
              <w:pStyle w:val="43"/>
              <w:autoSpaceDE w:val="0"/>
              <w:spacing w:line="360" w:lineRule="auto"/>
              <w:rPr>
                <w:rFonts w:eastAsia="宋体"/>
                <w:b w:val="0"/>
                <w:bCs w:val="0"/>
                <w:color w:val="auto"/>
                <w:sz w:val="21"/>
                <w:szCs w:val="21"/>
              </w:rPr>
            </w:pPr>
            <w:r>
              <w:rPr>
                <w:rFonts w:hint="eastAsia" w:eastAsia="宋体"/>
                <w:b w:val="0"/>
                <w:bCs w:val="0"/>
                <w:color w:val="auto"/>
                <w:sz w:val="21"/>
                <w:szCs w:val="21"/>
              </w:rPr>
              <w:t>投标人具有信息交互相关发明专利证书，得3分。</w:t>
            </w:r>
          </w:p>
          <w:p>
            <w:pPr>
              <w:widowControl/>
              <w:rPr>
                <w:rFonts w:ascii="宋体" w:hAnsi="宋体" w:eastAsia="宋体" w:cs="宋体"/>
                <w:b w:val="0"/>
                <w:bCs w:val="0"/>
                <w:color w:val="auto"/>
                <w:szCs w:val="21"/>
              </w:rPr>
            </w:pPr>
            <w:r>
              <w:rPr>
                <w:rFonts w:hint="eastAsia" w:ascii="宋体" w:hAnsi="宋体" w:eastAsia="宋体" w:cs="宋体"/>
                <w:b w:val="0"/>
                <w:bCs w:val="0"/>
                <w:color w:val="auto"/>
                <w:szCs w:val="21"/>
              </w:rPr>
              <w:t>注：提供证书复印件加盖公章，否则不得分。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Align w:val="center"/>
          </w:tcPr>
          <w:p>
            <w:pPr>
              <w:widowControl/>
              <w:rPr>
                <w:rFonts w:ascii="宋体" w:hAnsi="宋体" w:eastAsia="宋体" w:cs="宋体"/>
                <w:b w:val="0"/>
                <w:bCs w:val="0"/>
                <w:color w:val="auto"/>
                <w:szCs w:val="21"/>
              </w:rPr>
            </w:pPr>
            <w:r>
              <w:rPr>
                <w:rFonts w:hint="eastAsia" w:ascii="宋体" w:hAnsi="宋体" w:eastAsia="宋体" w:cs="宋体"/>
                <w:b w:val="0"/>
                <w:bCs w:val="0"/>
                <w:color w:val="auto"/>
                <w:szCs w:val="21"/>
              </w:rPr>
              <w:t>项目团队</w:t>
            </w:r>
          </w:p>
        </w:tc>
        <w:tc>
          <w:tcPr>
            <w:tcW w:w="1133" w:type="dxa"/>
            <w:vAlign w:val="center"/>
          </w:tcPr>
          <w:p>
            <w:pPr>
              <w:widowControl/>
              <w:jc w:val="center"/>
              <w:rPr>
                <w:rFonts w:ascii="宋体" w:hAnsi="宋体" w:eastAsia="宋体" w:cs="宋体"/>
                <w:b w:val="0"/>
                <w:bCs w:val="0"/>
                <w:color w:val="auto"/>
                <w:szCs w:val="21"/>
              </w:rPr>
            </w:pPr>
            <w:r>
              <w:rPr>
                <w:rFonts w:hint="eastAsia" w:ascii="宋体" w:hAnsi="宋体" w:eastAsia="宋体" w:cs="宋体"/>
                <w:b w:val="0"/>
                <w:bCs w:val="0"/>
                <w:color w:val="auto"/>
                <w:szCs w:val="21"/>
              </w:rPr>
              <w:t>4分</w:t>
            </w:r>
          </w:p>
        </w:tc>
        <w:tc>
          <w:tcPr>
            <w:tcW w:w="5971" w:type="dxa"/>
            <w:vAlign w:val="center"/>
          </w:tcPr>
          <w:p>
            <w:pPr>
              <w:rPr>
                <w:rFonts w:ascii="宋体" w:hAnsi="宋体" w:eastAsia="宋体" w:cs="宋体"/>
                <w:b w:val="0"/>
                <w:bCs w:val="0"/>
                <w:color w:val="auto"/>
                <w:kern w:val="0"/>
                <w:szCs w:val="21"/>
              </w:rPr>
            </w:pPr>
            <w:r>
              <w:rPr>
                <w:rFonts w:hint="eastAsia" w:ascii="宋体" w:hAnsi="宋体" w:eastAsia="宋体" w:cs="宋体"/>
                <w:b w:val="0"/>
                <w:bCs w:val="0"/>
                <w:color w:val="auto"/>
              </w:rPr>
              <w:t>1</w:t>
            </w:r>
            <w:r>
              <w:rPr>
                <w:rFonts w:hint="eastAsia" w:ascii="宋体" w:hAnsi="宋体" w:eastAsia="宋体" w:cs="宋体"/>
                <w:b w:val="0"/>
                <w:bCs w:val="0"/>
                <w:color w:val="auto"/>
                <w:kern w:val="0"/>
                <w:szCs w:val="21"/>
              </w:rPr>
              <w:t>、投标人提供的项目团队中具有高级项目经理或PMP的，得1分；</w:t>
            </w:r>
          </w:p>
          <w:p>
            <w:pPr>
              <w:rPr>
                <w:rFonts w:ascii="宋体" w:hAnsi="宋体" w:eastAsia="宋体" w:cs="宋体"/>
                <w:b w:val="0"/>
                <w:bCs w:val="0"/>
                <w:color w:val="auto"/>
                <w:kern w:val="0"/>
                <w:szCs w:val="21"/>
              </w:rPr>
            </w:pPr>
            <w:r>
              <w:rPr>
                <w:rFonts w:hint="eastAsia" w:ascii="宋体" w:hAnsi="宋体" w:eastAsia="宋体" w:cs="宋体"/>
                <w:b w:val="0"/>
                <w:bCs w:val="0"/>
                <w:color w:val="auto"/>
                <w:kern w:val="0"/>
                <w:szCs w:val="21"/>
              </w:rPr>
              <w:t xml:space="preserve">2、投标人提供的项目团队中具有健康管理师或营养师的，得1分； </w:t>
            </w:r>
          </w:p>
          <w:p>
            <w:pPr>
              <w:rPr>
                <w:rFonts w:ascii="宋体" w:hAnsi="宋体" w:eastAsia="宋体" w:cs="宋体"/>
                <w:b w:val="0"/>
                <w:bCs w:val="0"/>
                <w:color w:val="auto"/>
                <w:kern w:val="0"/>
                <w:szCs w:val="21"/>
              </w:rPr>
            </w:pPr>
            <w:r>
              <w:rPr>
                <w:rFonts w:hint="eastAsia" w:ascii="宋体" w:hAnsi="宋体" w:eastAsia="宋体" w:cs="宋体"/>
                <w:b w:val="0"/>
                <w:bCs w:val="0"/>
                <w:color w:val="auto"/>
                <w:kern w:val="0"/>
                <w:szCs w:val="21"/>
              </w:rPr>
              <w:t>3、投标人提供的项目团队中具有执业医师的，得1分；</w:t>
            </w:r>
          </w:p>
          <w:p>
            <w:pPr>
              <w:pStyle w:val="26"/>
              <w:rPr>
                <w:rFonts w:hAnsi="宋体"/>
                <w:b w:val="0"/>
                <w:bCs w:val="0"/>
                <w:color w:val="auto"/>
                <w:sz w:val="21"/>
                <w:szCs w:val="21"/>
              </w:rPr>
            </w:pPr>
            <w:r>
              <w:rPr>
                <w:rFonts w:hint="eastAsia" w:hAnsi="宋体"/>
                <w:b w:val="0"/>
                <w:bCs w:val="0"/>
                <w:color w:val="auto"/>
                <w:sz w:val="21"/>
                <w:szCs w:val="21"/>
              </w:rPr>
              <w:t>4、投标人提供的项目团队中具有NPDP的，得1分</w:t>
            </w:r>
            <w:r>
              <w:rPr>
                <w:rFonts w:hint="eastAsia" w:hAnsi="宋体"/>
                <w:b w:val="0"/>
                <w:bCs w:val="0"/>
                <w:color w:val="auto"/>
                <w:sz w:val="21"/>
                <w:szCs w:val="21"/>
              </w:rPr>
              <w:t>；</w:t>
            </w:r>
          </w:p>
          <w:p>
            <w:pPr>
              <w:widowControl/>
              <w:rPr>
                <w:rFonts w:ascii="宋体" w:hAnsi="宋体" w:eastAsia="宋体" w:cs="宋体"/>
                <w:b w:val="0"/>
                <w:bCs w:val="0"/>
                <w:color w:val="auto"/>
                <w:szCs w:val="21"/>
              </w:rPr>
            </w:pPr>
            <w:r>
              <w:rPr>
                <w:rFonts w:hint="eastAsia" w:ascii="宋体" w:hAnsi="宋体" w:eastAsia="宋体" w:cs="宋体"/>
                <w:b w:val="0"/>
                <w:bCs w:val="0"/>
                <w:color w:val="auto"/>
              </w:rPr>
              <w:t>注：以上提供项目经理证书、健康管理师证书、营养师证书、执业医师证书、NPDP证书，以及近三个月为该员工缴纳社保的证明档。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Align w:val="center"/>
          </w:tcPr>
          <w:p>
            <w:pPr>
              <w:widowControl/>
              <w:rPr>
                <w:rFonts w:ascii="宋体" w:hAnsi="宋体" w:eastAsia="宋体" w:cs="宋体"/>
                <w:color w:val="000000"/>
                <w:szCs w:val="21"/>
              </w:rPr>
            </w:pPr>
            <w:r>
              <w:rPr>
                <w:rFonts w:hint="eastAsia" w:ascii="宋体" w:hAnsi="宋体" w:eastAsia="宋体" w:cs="宋体"/>
                <w:color w:val="000000"/>
                <w:szCs w:val="21"/>
              </w:rPr>
              <w:t>需求理解</w:t>
            </w:r>
          </w:p>
        </w:tc>
        <w:tc>
          <w:tcPr>
            <w:tcW w:w="1133" w:type="dxa"/>
            <w:vAlign w:val="center"/>
          </w:tcPr>
          <w:p>
            <w:pPr>
              <w:widowControl/>
              <w:jc w:val="center"/>
              <w:rPr>
                <w:rFonts w:ascii="宋体" w:hAnsi="宋体" w:eastAsia="宋体" w:cs="宋体"/>
                <w:color w:val="000000"/>
                <w:szCs w:val="21"/>
              </w:rPr>
            </w:pPr>
            <w:r>
              <w:rPr>
                <w:rFonts w:hint="eastAsia" w:ascii="宋体" w:hAnsi="宋体" w:eastAsia="宋体" w:cs="宋体"/>
                <w:color w:val="000000"/>
                <w:szCs w:val="21"/>
              </w:rPr>
              <w:t>6分</w:t>
            </w:r>
          </w:p>
        </w:tc>
        <w:tc>
          <w:tcPr>
            <w:tcW w:w="5971" w:type="dxa"/>
            <w:vAlign w:val="center"/>
          </w:tcPr>
          <w:p>
            <w:pPr>
              <w:widowControl/>
              <w:rPr>
                <w:rFonts w:ascii="宋体" w:hAnsi="宋体" w:eastAsia="宋体" w:cs="宋体"/>
                <w:color w:val="000000"/>
                <w:szCs w:val="21"/>
              </w:rPr>
            </w:pPr>
            <w:r>
              <w:rPr>
                <w:rFonts w:hint="eastAsia" w:ascii="宋体" w:hAnsi="宋体" w:eastAsia="宋体" w:cs="宋体"/>
                <w:color w:val="000000"/>
                <w:szCs w:val="21"/>
              </w:rPr>
              <w:t>投标人对项目需求分析是否合理，投标方案与需求的吻合度，包括对用户项目建设的要求是否满足，对项目需求分析是否合理，对项目业务流程是否理解透彻，由评标委员会酌情打分。（0-6分）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Align w:val="center"/>
          </w:tcPr>
          <w:p>
            <w:pPr>
              <w:spacing w:line="360" w:lineRule="auto"/>
              <w:rPr>
                <w:rFonts w:ascii="宋体" w:hAnsi="宋体" w:eastAsia="宋体" w:cs="宋体"/>
                <w:color w:val="000000"/>
                <w:szCs w:val="21"/>
              </w:rPr>
            </w:pPr>
            <w:r>
              <w:rPr>
                <w:rFonts w:hint="eastAsia" w:ascii="宋体" w:hAnsi="宋体" w:eastAsia="宋体" w:cs="宋体"/>
                <w:szCs w:val="21"/>
              </w:rPr>
              <w:t>技术参数</w:t>
            </w:r>
          </w:p>
        </w:tc>
        <w:tc>
          <w:tcPr>
            <w:tcW w:w="1133" w:type="dxa"/>
            <w:vAlign w:val="center"/>
          </w:tcPr>
          <w:p>
            <w:pPr>
              <w:widowControl/>
              <w:jc w:val="center"/>
              <w:rPr>
                <w:rFonts w:ascii="宋体" w:hAnsi="宋体" w:eastAsia="宋体" w:cs="宋体"/>
                <w:color w:val="000000"/>
                <w:szCs w:val="21"/>
              </w:rPr>
            </w:pPr>
            <w:r>
              <w:rPr>
                <w:rFonts w:hint="eastAsia" w:ascii="宋体" w:hAnsi="宋体" w:eastAsia="宋体" w:cs="宋体"/>
                <w:color w:val="000000"/>
                <w:szCs w:val="21"/>
              </w:rPr>
              <w:t>20</w:t>
            </w:r>
          </w:p>
        </w:tc>
        <w:tc>
          <w:tcPr>
            <w:tcW w:w="5971" w:type="dxa"/>
            <w:vAlign w:val="center"/>
          </w:tcPr>
          <w:p>
            <w:pPr>
              <w:widowControl/>
              <w:rPr>
                <w:rFonts w:ascii="宋体" w:hAnsi="宋体" w:eastAsia="宋体" w:cs="宋体"/>
                <w:color w:val="000000"/>
                <w:szCs w:val="21"/>
              </w:rPr>
            </w:pPr>
            <w:r>
              <w:rPr>
                <w:rFonts w:hint="eastAsia" w:ascii="宋体" w:hAnsi="宋体" w:eastAsia="宋体" w:cs="宋体"/>
                <w:color w:val="000000"/>
              </w:rPr>
              <w:t>技术功能符合度：对采购文件“招标技术要求”的回应情况，每一条不能满足采购文件要求扣1分，</w:t>
            </w:r>
            <w:r>
              <w:rPr>
                <w:rFonts w:hint="eastAsia" w:ascii="宋体" w:hAnsi="宋体" w:eastAsia="宋体" w:cs="宋体"/>
                <w:szCs w:val="21"/>
              </w:rPr>
              <w:t>扣完为止</w:t>
            </w:r>
            <w:r>
              <w:rPr>
                <w:rFonts w:hint="eastAsia" w:ascii="宋体" w:hAnsi="宋体" w:eastAsia="宋体" w:cs="宋体"/>
                <w:color w:val="000000"/>
              </w:rPr>
              <w:t>。招标文件要求提供技术证明档的投标人必须如实回应并提供符合要求的证明档，不能提供符合要求的证明档的视为不满足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Align w:val="center"/>
          </w:tcPr>
          <w:p>
            <w:pPr>
              <w:widowControl/>
              <w:rPr>
                <w:rFonts w:ascii="宋体" w:hAnsi="宋体" w:eastAsia="宋体" w:cs="宋体"/>
                <w:color w:val="000000"/>
                <w:szCs w:val="21"/>
              </w:rPr>
            </w:pPr>
            <w:r>
              <w:rPr>
                <w:rFonts w:hint="eastAsia" w:ascii="宋体" w:hAnsi="宋体" w:eastAsia="宋体" w:cs="宋体"/>
                <w:color w:val="000000"/>
              </w:rPr>
              <w:t>现场演示</w:t>
            </w:r>
          </w:p>
        </w:tc>
        <w:tc>
          <w:tcPr>
            <w:tcW w:w="1133" w:type="dxa"/>
            <w:vAlign w:val="center"/>
          </w:tcPr>
          <w:p>
            <w:pPr>
              <w:widowControl/>
              <w:jc w:val="center"/>
              <w:rPr>
                <w:rFonts w:ascii="宋体" w:hAnsi="宋体" w:eastAsia="宋体" w:cs="宋体"/>
                <w:color w:val="000000"/>
                <w:szCs w:val="21"/>
              </w:rPr>
            </w:pPr>
            <w:r>
              <w:rPr>
                <w:rFonts w:hint="eastAsia" w:ascii="宋体" w:hAnsi="宋体" w:eastAsia="宋体" w:cs="宋体"/>
                <w:color w:val="000000"/>
                <w:szCs w:val="21"/>
              </w:rPr>
              <w:t>20</w:t>
            </w:r>
          </w:p>
        </w:tc>
        <w:tc>
          <w:tcPr>
            <w:tcW w:w="5971" w:type="dxa"/>
            <w:vAlign w:val="center"/>
          </w:tcPr>
          <w:p>
            <w:pPr>
              <w:jc w:val="left"/>
              <w:rPr>
                <w:rFonts w:ascii="宋体" w:hAnsi="宋体" w:eastAsia="宋体" w:cs="宋体"/>
                <w:color w:val="000000"/>
                <w:szCs w:val="21"/>
              </w:rPr>
            </w:pPr>
            <w:r>
              <w:rPr>
                <w:rFonts w:hint="eastAsia" w:ascii="宋体" w:hAnsi="宋体" w:eastAsia="宋体" w:cs="宋体"/>
                <w:color w:val="000000"/>
                <w:szCs w:val="21"/>
              </w:rPr>
              <w:t>投标人根据要求在规定时间内现场实际作业（所有演示功能都在技术参数范围内）软件系统主要演示功能包括基础参数中的功能。</w:t>
            </w:r>
          </w:p>
          <w:p>
            <w:pPr>
              <w:jc w:val="left"/>
              <w:rPr>
                <w:rFonts w:ascii="宋体" w:hAnsi="宋体" w:eastAsia="宋体" w:cs="宋体"/>
                <w:color w:val="000000"/>
                <w:szCs w:val="21"/>
              </w:rPr>
            </w:pPr>
            <w:r>
              <w:rPr>
                <w:rFonts w:hint="eastAsia" w:ascii="宋体" w:hAnsi="宋体" w:eastAsia="宋体" w:cs="宋体"/>
                <w:color w:val="000000"/>
                <w:szCs w:val="21"/>
              </w:rPr>
              <w:t>招标文件中打“</w:t>
            </w:r>
            <w:r>
              <w:rPr>
                <w:rFonts w:hint="eastAsia" w:ascii="宋体" w:hAnsi="宋体" w:eastAsia="宋体" w:cs="宋体"/>
                <w:color w:val="000000"/>
                <w:kern w:val="0"/>
                <w:szCs w:val="21"/>
                <w:lang w:bidi="ar"/>
              </w:rPr>
              <w:t>●</w:t>
            </w:r>
            <w:r>
              <w:rPr>
                <w:rFonts w:hint="eastAsia" w:ascii="宋体" w:hAnsi="宋体" w:eastAsia="宋体" w:cs="宋体"/>
                <w:color w:val="000000"/>
                <w:szCs w:val="21"/>
              </w:rPr>
              <w:t>”的功能模块现场必须进行演示，评标小组根据演示的完整性、可行性、符合性进行评价；</w:t>
            </w:r>
          </w:p>
          <w:p>
            <w:pPr>
              <w:rPr>
                <w:rFonts w:ascii="宋体" w:hAnsi="宋体" w:eastAsia="宋体" w:cs="宋体"/>
                <w:color w:val="000000"/>
                <w:szCs w:val="21"/>
              </w:rPr>
            </w:pPr>
            <w:r>
              <w:rPr>
                <w:rFonts w:hint="eastAsia" w:ascii="宋体" w:hAnsi="宋体" w:eastAsia="宋体" w:cs="宋体"/>
                <w:color w:val="000000"/>
                <w:szCs w:val="21"/>
              </w:rPr>
              <w:t>每少演示一项扣1分，扣完为止。</w:t>
            </w:r>
          </w:p>
          <w:p>
            <w:pPr>
              <w:widowControl/>
              <w:rPr>
                <w:rFonts w:ascii="宋体" w:hAnsi="宋体" w:eastAsia="宋体" w:cs="宋体"/>
                <w:color w:val="000000"/>
              </w:rPr>
            </w:pPr>
            <w:r>
              <w:rPr>
                <w:rFonts w:hint="eastAsia" w:ascii="宋体" w:hAnsi="宋体" w:eastAsia="宋体" w:cs="宋体"/>
                <w:color w:val="000000"/>
                <w:szCs w:val="21"/>
              </w:rPr>
              <w:t>供应商自行准备演示所需设备。不接受ppt、截图演示。不演示者不得分，时间不超过20分钟。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Align w:val="center"/>
          </w:tcPr>
          <w:p>
            <w:pPr>
              <w:widowControl/>
              <w:rPr>
                <w:rFonts w:ascii="宋体" w:hAnsi="宋体" w:eastAsia="宋体" w:cs="宋体"/>
                <w:color w:val="000000"/>
                <w:szCs w:val="21"/>
              </w:rPr>
            </w:pPr>
            <w:r>
              <w:rPr>
                <w:rFonts w:hint="eastAsia" w:ascii="宋体" w:hAnsi="宋体" w:eastAsia="宋体" w:cs="宋体"/>
                <w:color w:val="000000"/>
                <w:szCs w:val="21"/>
              </w:rPr>
              <w:t>业绩证明</w:t>
            </w:r>
          </w:p>
        </w:tc>
        <w:tc>
          <w:tcPr>
            <w:tcW w:w="1133" w:type="dxa"/>
            <w:vAlign w:val="center"/>
          </w:tcPr>
          <w:p>
            <w:pPr>
              <w:widowControl/>
              <w:jc w:val="center"/>
              <w:rPr>
                <w:rFonts w:ascii="宋体" w:hAnsi="宋体" w:eastAsia="宋体" w:cs="宋体"/>
                <w:color w:val="000000"/>
                <w:szCs w:val="21"/>
              </w:rPr>
            </w:pPr>
            <w:r>
              <w:rPr>
                <w:rFonts w:hint="eastAsia" w:ascii="宋体" w:hAnsi="宋体" w:eastAsia="宋体" w:cs="宋体"/>
                <w:color w:val="000000"/>
                <w:szCs w:val="21"/>
              </w:rPr>
              <w:t>5</w:t>
            </w:r>
          </w:p>
        </w:tc>
        <w:tc>
          <w:tcPr>
            <w:tcW w:w="5971" w:type="dxa"/>
            <w:vAlign w:val="center"/>
          </w:tcPr>
          <w:p>
            <w:pPr>
              <w:widowControl/>
              <w:rPr>
                <w:rFonts w:ascii="宋体" w:hAnsi="宋体" w:eastAsia="宋体" w:cs="宋体"/>
                <w:color w:val="000000"/>
              </w:rPr>
            </w:pPr>
            <w:r>
              <w:rPr>
                <w:rFonts w:hint="eastAsia" w:ascii="宋体" w:hAnsi="宋体" w:eastAsia="宋体" w:cs="宋体"/>
                <w:color w:val="000000"/>
              </w:rPr>
              <w:t>提供投标人自2019年1月1日以来</w:t>
            </w:r>
            <w:r>
              <w:rPr>
                <w:rFonts w:hint="eastAsia" w:ascii="宋体" w:hAnsi="宋体" w:eastAsia="宋体" w:cs="宋体"/>
                <w:color w:val="000000"/>
                <w:szCs w:val="21"/>
              </w:rPr>
              <w:t>有全国范围内有同类项目（含随访、宣教、满意度调查等内容）成功案例的，每提供一个案例得1分（单家医院只计算一次）</w:t>
            </w:r>
            <w:r>
              <w:rPr>
                <w:rFonts w:hint="eastAsia" w:ascii="宋体" w:hAnsi="宋体" w:eastAsia="宋体" w:cs="宋体"/>
                <w:color w:val="000000"/>
              </w:rPr>
              <w:t>，每提供1个合同复印件得1分，最高5分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Merge w:val="restart"/>
            <w:vAlign w:val="center"/>
          </w:tcPr>
          <w:p>
            <w:pPr>
              <w:widowControl/>
              <w:rPr>
                <w:rFonts w:ascii="宋体" w:hAnsi="宋体" w:eastAsia="宋体" w:cs="宋体"/>
                <w:color w:val="000000"/>
                <w:szCs w:val="21"/>
              </w:rPr>
            </w:pPr>
            <w:r>
              <w:rPr>
                <w:rFonts w:hint="eastAsia" w:ascii="宋体" w:hAnsi="宋体" w:eastAsia="宋体" w:cs="宋体"/>
                <w:color w:val="000000"/>
                <w:szCs w:val="21"/>
              </w:rPr>
              <w:t>培训及售后服务</w:t>
            </w:r>
          </w:p>
        </w:tc>
        <w:tc>
          <w:tcPr>
            <w:tcW w:w="1133" w:type="dxa"/>
            <w:vMerge w:val="restart"/>
            <w:vAlign w:val="center"/>
          </w:tcPr>
          <w:p>
            <w:pPr>
              <w:widowControl/>
              <w:jc w:val="center"/>
              <w:rPr>
                <w:rFonts w:ascii="宋体" w:hAnsi="宋体" w:eastAsia="宋体" w:cs="宋体"/>
                <w:color w:val="000000"/>
                <w:szCs w:val="21"/>
              </w:rPr>
            </w:pPr>
            <w:r>
              <w:rPr>
                <w:rFonts w:hint="eastAsia" w:ascii="宋体" w:hAnsi="宋体" w:eastAsia="宋体" w:cs="宋体"/>
                <w:color w:val="000000"/>
                <w:szCs w:val="21"/>
              </w:rPr>
              <w:t>10</w:t>
            </w:r>
          </w:p>
        </w:tc>
        <w:tc>
          <w:tcPr>
            <w:tcW w:w="5971" w:type="dxa"/>
            <w:vAlign w:val="center"/>
          </w:tcPr>
          <w:p>
            <w:pPr>
              <w:widowControl/>
              <w:rPr>
                <w:rFonts w:ascii="宋体" w:hAnsi="宋体" w:eastAsia="宋体" w:cs="宋体"/>
                <w:color w:val="000000"/>
                <w:szCs w:val="21"/>
              </w:rPr>
            </w:pPr>
            <w:r>
              <w:rPr>
                <w:rFonts w:hint="eastAsia" w:ascii="宋体" w:hAnsi="宋体" w:eastAsia="宋体" w:cs="宋体"/>
                <w:color w:val="000000"/>
                <w:szCs w:val="21"/>
              </w:rPr>
              <w:t>培训方案包括不限于：培训目标、培训形式与内容、培训对象、培训计划四部分组成，根据培训内容、培训计划、课时安排，师资力量评分。方案内容丰富5分，方案基本满足本项目3分，方案一般1分，方案薄弱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59" w:type="dxa"/>
            <w:vMerge w:val="continue"/>
          </w:tcPr>
          <w:p>
            <w:pPr>
              <w:widowControl/>
              <w:rPr>
                <w:rFonts w:ascii="宋体" w:hAnsi="宋体" w:eastAsia="宋体" w:cs="宋体"/>
                <w:color w:val="000000"/>
                <w:szCs w:val="21"/>
              </w:rPr>
            </w:pPr>
          </w:p>
        </w:tc>
        <w:tc>
          <w:tcPr>
            <w:tcW w:w="1133" w:type="dxa"/>
            <w:vMerge w:val="continue"/>
          </w:tcPr>
          <w:p>
            <w:pPr>
              <w:widowControl/>
              <w:rPr>
                <w:rFonts w:ascii="宋体" w:hAnsi="宋体" w:eastAsia="宋体" w:cs="宋体"/>
                <w:color w:val="000000"/>
                <w:szCs w:val="21"/>
              </w:rPr>
            </w:pPr>
          </w:p>
        </w:tc>
        <w:tc>
          <w:tcPr>
            <w:tcW w:w="5971" w:type="dxa"/>
            <w:vAlign w:val="center"/>
          </w:tcPr>
          <w:p>
            <w:pPr>
              <w:widowControl/>
              <w:rPr>
                <w:rFonts w:ascii="宋体" w:hAnsi="宋体" w:eastAsia="宋体" w:cs="宋体"/>
                <w:color w:val="000000"/>
                <w:szCs w:val="21"/>
              </w:rPr>
            </w:pPr>
            <w:r>
              <w:rPr>
                <w:rFonts w:hint="eastAsia" w:ascii="宋体" w:hAnsi="宋体" w:eastAsia="宋体" w:cs="宋体"/>
                <w:color w:val="000000"/>
                <w:szCs w:val="21"/>
              </w:rPr>
              <w:t>投标人根据系统特点，制定的后续系统完善升级能力、日常系统应用技术支持能力、故障响应处置能力等，由评标委员会酌情打分。（0-5分）</w:t>
            </w:r>
          </w:p>
        </w:tc>
      </w:tr>
    </w:tbl>
    <w:p>
      <w:pPr>
        <w:autoSpaceDE w:val="0"/>
        <w:autoSpaceDN w:val="0"/>
        <w:adjustRightInd w:val="0"/>
        <w:jc w:val="left"/>
        <w:rPr>
          <w:rFonts w:ascii="宋体" w:hAnsi="宋体" w:eastAsia="宋体" w:cs="宋体"/>
          <w:color w:val="000000"/>
          <w:kern w:val="0"/>
          <w:sz w:val="24"/>
          <w:szCs w:val="24"/>
        </w:rPr>
      </w:pPr>
    </w:p>
    <w:p>
      <w:pPr>
        <w:numPr>
          <w:ilvl w:val="0"/>
          <w:numId w:val="1"/>
        </w:numPr>
        <w:spacing w:line="360" w:lineRule="auto"/>
        <w:rPr>
          <w:rFonts w:ascii="宋体" w:hAnsi="宋体" w:eastAsia="宋体" w:cs="宋体"/>
          <w:b/>
          <w:bCs/>
          <w:color w:val="000000"/>
          <w:szCs w:val="21"/>
        </w:rPr>
      </w:pPr>
      <w:r>
        <w:rPr>
          <w:rFonts w:hint="eastAsia" w:ascii="宋体" w:hAnsi="宋体" w:eastAsia="宋体" w:cs="宋体"/>
          <w:b/>
          <w:bCs/>
          <w:color w:val="000000"/>
          <w:szCs w:val="21"/>
        </w:rPr>
        <w:t>报价部分（满分20分）</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（1）商务评标按综合评分细则对投标人最终的报价的评标价进行统一计算评分，由评标委员会按综合评分因素及标准要求集体判定评分。</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满足招标文件要求且有效投标价格中的最低投标报价（评审价）为评标基准价，其价格分为满分20分。</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其他投标人的价格分统一按照下列公式计算：</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投标报价得分=（评标基准价/投标报价）×价格权值（即20%）×100</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（2）超出招标文件要求的优惠条件，在计算价格分时，不能从投标价中扣除。</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①根据《政府采购促进中小企业发展暂行办法》（财库[2011]181号）的规定，投标人为小型或微型企业且所投产品为小型或微型企业生产的，其投标报价扣除6%后参与评审。</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投标文件中须同时提供：中小企业声明函以及当地中小企业行政主管部门的确认意见或投标截止时间前7日内“国家企业信用信息公示系统—小微企业名录”页面查询结果，未按要求提供此二项证明材料的（二者缺一不可）均不被认定为中小企业，即投标报价不予扣减。</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②根据《关于政府采购支持监狱企业发展有关问题的通知》（财库[2014]68号）的规定，投标人如为监狱企业且所投产品为小型或微型企业生产的，其投标报价扣除6%后参与评审。</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投标文件中须同时提供：投标人的省级以上监狱管理局、戒毒管理局(含新疆生产建设兵团)出具的属于监狱企业的证明文件，投标产品制造商的小微企业证明（当地中小企业行政主管部门出具的中小企业资格确认意见书或者投标截止时间前7日内“国家企业信用信息公示系统—小微企业名录”页面查询结果）未提供完整证明材料的，投标报价不予扣减。</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③根据《财政部、民政部、中国残疾人联合会关于促进残疾人就业政府采购政策的通知》（财库〔2017〕141号）的规定，投标人如为符合条件的残疾人福利性单位，其投标报价扣除6%后参与评审。</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投标文件中须出具《残疾人福利性单位声明函》，未提供该声明函的，投标报价不予扣减。</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中标、成交供应商为残疾人福利性单位的，采购人或者其委托的采购代理机构应当随中标、成交结果同时公告其《残疾人福利性单位声明函》，接受社会监督。</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（3）最终得分</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评分时保留小数点后1位小数，计算评分值时保留小数点后2位小数，由评标委员会当场统一计算。</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投标人的最终总得分为资信、技术、报价各部分得分的总和。</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报价是中标的一个重要因素，但最低报价不是中标的唯一依据。</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（4）完成评标报告，推荐中标候选人</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①评标委员会应根据评标情况和结果，向招标人提交评标报告。评标报告由评标委员会成员起草，经评标委员会三分之二以上的成员同意通过。评标委员会全体成员应在评标报告上签字确认，评标专家如有保留意见可以在评标报告中阐明。</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②评标委员会根据综合评分对进入评分范围的投标文件综合评分由高到低进行排序，依次按招标文件规定的数量推荐中标候选人。评分相同时，报价低者优先。评分、报价均相同时，技术的分高者优先。评分、报价、技术的分均相同时，由评标委员会全体成员记名投票（不得弃权）决定排序。</w:t>
      </w:r>
    </w:p>
    <w:p>
      <w:pPr>
        <w:adjustRightInd w:val="0"/>
        <w:snapToGrid w:val="0"/>
        <w:spacing w:line="360" w:lineRule="auto"/>
        <w:ind w:firstLine="388" w:firstLineChars="196"/>
        <w:jc w:val="left"/>
        <w:rPr>
          <w:rFonts w:ascii="宋体" w:hAnsi="宋体" w:eastAsia="宋体" w:cs="宋体"/>
          <w:color w:val="000000"/>
          <w:spacing w:val="-6"/>
          <w:szCs w:val="21"/>
        </w:rPr>
      </w:pPr>
      <w:r>
        <w:rPr>
          <w:rFonts w:hint="eastAsia" w:ascii="宋体" w:hAnsi="宋体" w:eastAsia="宋体" w:cs="宋体"/>
          <w:color w:val="000000"/>
          <w:spacing w:val="-6"/>
          <w:szCs w:val="21"/>
        </w:rPr>
        <w:t>③本项目中标候选人数量：1人。</w:t>
      </w:r>
    </w:p>
    <w:p>
      <w:pPr>
        <w:rPr>
          <w:rFonts w:ascii="宋体" w:hAnsi="宋体" w:eastAsia="宋体" w:cs="宋体"/>
        </w:rPr>
      </w:pPr>
    </w:p>
    <w:sectPr>
      <w:footerReference r:id="rId8" w:type="default"/>
      <w:pgSz w:w="11906" w:h="16838"/>
      <w:pgMar w:top="1440" w:right="1800" w:bottom="1440" w:left="1800"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2FF" w:usb1="400004FF" w:usb2="00000000" w:usb3="00000000" w:csb0="2000019F" w:csb1="00000000"/>
  </w:font>
  <w:font w:name="Century Gothic">
    <w:panose1 w:val="020B0502020202020204"/>
    <w:charset w:val="00"/>
    <w:family w:val="swiss"/>
    <w:pitch w:val="default"/>
    <w:sig w:usb0="00000287" w:usb1="00000000" w:usb2="00000000" w:usb3="00000000" w:csb0="2000009F" w:csb1="DFD7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2"/>
      <w:ind w:firstLine="360"/>
      <w:rPr>
        <w:rStyle w:val="23"/>
      </w:rPr>
    </w:pPr>
    <w:r>
      <w:rPr>
        <w:rStyle w:val="23"/>
      </w:rPr>
      <w:fldChar w:fldCharType="begin"/>
    </w:r>
    <w:r>
      <w:rPr>
        <w:rStyle w:val="23"/>
      </w:rPr>
      <w:instrText xml:space="preserve"> PAGE </w:instrText>
    </w:r>
    <w:r>
      <w:rPr>
        <w:rStyle w:val="23"/>
      </w:rPr>
      <w:fldChar w:fldCharType="separate"/>
    </w:r>
    <w:r>
      <w:rPr>
        <w:rStyle w:val="23"/>
      </w:rPr>
      <w:t>2</w:t>
    </w:r>
    <w:r>
      <w:rPr>
        <w:rStyle w:val="23"/>
      </w:rPr>
      <w:fldChar w:fldCharType="end"/>
    </w:r>
  </w:p>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2"/>
      <w:ind w:firstLine="360"/>
      <w:rPr>
        <w:rStyle w:val="23"/>
      </w:rPr>
    </w:pPr>
    <w:r>
      <w:rPr>
        <w:rStyle w:val="23"/>
      </w:rPr>
      <w:fldChar w:fldCharType="begin"/>
    </w:r>
    <w:r>
      <w:rPr>
        <w:rStyle w:val="23"/>
      </w:rPr>
      <w:instrText xml:space="preserve"> PAGE </w:instrText>
    </w:r>
    <w:r>
      <w:rPr>
        <w:rStyle w:val="23"/>
      </w:rPr>
      <w:fldChar w:fldCharType="separate"/>
    </w:r>
    <w:r>
      <w:rPr>
        <w:rStyle w:val="23"/>
      </w:rPr>
      <w:t>1</w:t>
    </w:r>
    <w:r>
      <w:rPr>
        <w:rStyle w:val="23"/>
      </w:rPr>
      <w:fldChar w:fldCharType="end"/>
    </w:r>
  </w:p>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2"/>
      <w:rPr>
        <w:rStyle w:val="23"/>
      </w:rPr>
    </w:pPr>
    <w:r>
      <w:rPr>
        <w:rStyle w:val="23"/>
      </w:rPr>
      <w:fldChar w:fldCharType="begin"/>
    </w:r>
    <w:r>
      <w:rPr>
        <w:rStyle w:val="23"/>
      </w:rPr>
      <w:instrText xml:space="preserve"> PAGE </w:instrText>
    </w:r>
    <w:r>
      <w:rPr>
        <w:rStyle w:val="23"/>
      </w:rPr>
      <w:fldChar w:fldCharType="separate"/>
    </w:r>
    <w:r>
      <w:rPr>
        <w:rStyle w:val="23"/>
      </w:rPr>
      <w:t>2</w:t>
    </w:r>
    <w:r>
      <w:rPr>
        <w:rStyle w:val="23"/>
      </w:rPr>
      <w:fldChar w:fldCharType="end"/>
    </w: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2"/>
      <w:rPr>
        <w:rStyle w:val="23"/>
      </w:rPr>
    </w:pPr>
    <w:r>
      <w:rPr>
        <w:rStyle w:val="23"/>
      </w:rPr>
      <w:fldChar w:fldCharType="begin"/>
    </w:r>
    <w:r>
      <w:rPr>
        <w:rStyle w:val="23"/>
      </w:rPr>
      <w:instrText xml:space="preserve"> PAGE </w:instrText>
    </w:r>
    <w:r>
      <w:rPr>
        <w:rStyle w:val="23"/>
      </w:rPr>
      <w:fldChar w:fldCharType="separate"/>
    </w:r>
    <w:r>
      <w:rPr>
        <w:rStyle w:val="23"/>
      </w:rPr>
      <w:t>10</w:t>
    </w:r>
    <w:r>
      <w:rPr>
        <w:rStyle w:val="23"/>
      </w:rP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w:rPr>
        <w:rFonts w:cs="宋体"/>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0979DA"/>
    <w:multiLevelType w:val="singleLevel"/>
    <w:tmpl w:val="DF0979DA"/>
    <w:lvl w:ilvl="0" w:tentative="0">
      <w:start w:val="1"/>
      <w:numFmt w:val="decimal"/>
      <w:lvlText w:val="%1."/>
      <w:lvlJc w:val="left"/>
      <w:pPr>
        <w:ind w:left="425" w:hanging="425"/>
      </w:pPr>
      <w:rPr>
        <w:rFonts w:hint="default"/>
      </w:rPr>
    </w:lvl>
  </w:abstractNum>
  <w:abstractNum w:abstractNumId="1">
    <w:nsid w:val="ED5A1F43"/>
    <w:multiLevelType w:val="multilevel"/>
    <w:tmpl w:val="ED5A1F4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625F90"/>
    <w:multiLevelType w:val="multilevel"/>
    <w:tmpl w:val="00625F9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5A257DC"/>
    <w:multiLevelType w:val="multilevel"/>
    <w:tmpl w:val="05A257DC"/>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D264A89"/>
    <w:multiLevelType w:val="multilevel"/>
    <w:tmpl w:val="0D264A8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0874889"/>
    <w:multiLevelType w:val="multilevel"/>
    <w:tmpl w:val="10874889"/>
    <w:lvl w:ilvl="0" w:tentative="0">
      <w:start w:val="1"/>
      <w:numFmt w:val="chineseCountingThousand"/>
      <w:pStyle w:val="37"/>
      <w:lvlText w:val="(%1)"/>
      <w:lvlJc w:val="left"/>
      <w:pPr>
        <w:ind w:left="842" w:hanging="420"/>
      </w:p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6">
    <w:nsid w:val="16BFD1B1"/>
    <w:multiLevelType w:val="singleLevel"/>
    <w:tmpl w:val="16BFD1B1"/>
    <w:lvl w:ilvl="0" w:tentative="0">
      <w:start w:val="1"/>
      <w:numFmt w:val="decimal"/>
      <w:lvlText w:val="%1."/>
      <w:lvlJc w:val="left"/>
      <w:pPr>
        <w:tabs>
          <w:tab w:val="left" w:pos="312"/>
        </w:tabs>
      </w:pPr>
    </w:lvl>
  </w:abstractNum>
  <w:abstractNum w:abstractNumId="7">
    <w:nsid w:val="1C767EF7"/>
    <w:multiLevelType w:val="multilevel"/>
    <w:tmpl w:val="1C767EF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E851BF1"/>
    <w:multiLevelType w:val="multilevel"/>
    <w:tmpl w:val="1E851BF1"/>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28935648"/>
    <w:multiLevelType w:val="multilevel"/>
    <w:tmpl w:val="2893564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1960D58"/>
    <w:multiLevelType w:val="multilevel"/>
    <w:tmpl w:val="31960D5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4F432F4"/>
    <w:multiLevelType w:val="multilevel"/>
    <w:tmpl w:val="34F432F4"/>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780"/>
        </w:tabs>
        <w:ind w:left="780" w:hanging="360"/>
      </w:pPr>
      <w:rPr>
        <w:rFonts w:hint="default"/>
      </w:rPr>
    </w:lvl>
    <w:lvl w:ilvl="2" w:tentative="0">
      <w:start w:val="1"/>
      <w:numFmt w:val="upperLetter"/>
      <w:lvlText w:val="%3."/>
      <w:lvlJc w:val="left"/>
      <w:pPr>
        <w:tabs>
          <w:tab w:val="left" w:pos="1260"/>
        </w:tabs>
        <w:ind w:left="1260" w:hanging="420"/>
      </w:pPr>
    </w:lvl>
    <w:lvl w:ilvl="3" w:tentative="0">
      <w:start w:val="1"/>
      <w:numFmt w:val="lowerLetter"/>
      <w:lvlText w:val="%4)"/>
      <w:lvlJc w:val="left"/>
      <w:pPr>
        <w:tabs>
          <w:tab w:val="left" w:pos="1680"/>
        </w:tabs>
        <w:ind w:left="1680" w:hanging="420"/>
      </w:pPr>
    </w:lvl>
    <w:lvl w:ilvl="4" w:tentative="0">
      <w:start w:val="1"/>
      <w:numFmt w:val="decimal"/>
      <w:lvlText w:val="（%5）"/>
      <w:lvlJc w:val="left"/>
      <w:pPr>
        <w:tabs>
          <w:tab w:val="left" w:pos="2400"/>
        </w:tabs>
        <w:ind w:left="2400" w:hanging="72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BF617B3"/>
    <w:multiLevelType w:val="multilevel"/>
    <w:tmpl w:val="3BF617B3"/>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3D511A8E"/>
    <w:multiLevelType w:val="multilevel"/>
    <w:tmpl w:val="3D511A8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5FA13B5"/>
    <w:multiLevelType w:val="multilevel"/>
    <w:tmpl w:val="55FA13B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D871B4E"/>
    <w:multiLevelType w:val="singleLevel"/>
    <w:tmpl w:val="5D871B4E"/>
    <w:lvl w:ilvl="0" w:tentative="0">
      <w:start w:val="1"/>
      <w:numFmt w:val="decimal"/>
      <w:suff w:val="nothing"/>
      <w:lvlText w:val="%1、"/>
      <w:lvlJc w:val="left"/>
    </w:lvl>
  </w:abstractNum>
  <w:abstractNum w:abstractNumId="16">
    <w:nsid w:val="63847E07"/>
    <w:multiLevelType w:val="multilevel"/>
    <w:tmpl w:val="63847E07"/>
    <w:lvl w:ilvl="0" w:tentative="0">
      <w:start w:val="1"/>
      <w:numFmt w:val="decimal"/>
      <w:lvlText w:val="%1."/>
      <w:lvlJc w:val="left"/>
      <w:pPr>
        <w:tabs>
          <w:tab w:val="left" w:pos="815"/>
        </w:tabs>
        <w:ind w:left="815" w:hanging="420"/>
      </w:pPr>
    </w:lvl>
    <w:lvl w:ilvl="1" w:tentative="0">
      <w:start w:val="1"/>
      <w:numFmt w:val="lowerLetter"/>
      <w:lvlText w:val="%2)"/>
      <w:lvlJc w:val="left"/>
      <w:pPr>
        <w:tabs>
          <w:tab w:val="left" w:pos="1235"/>
        </w:tabs>
        <w:ind w:left="1235" w:hanging="420"/>
      </w:pPr>
    </w:lvl>
    <w:lvl w:ilvl="2" w:tentative="0">
      <w:start w:val="1"/>
      <w:numFmt w:val="lowerRoman"/>
      <w:lvlText w:val="%3."/>
      <w:lvlJc w:val="right"/>
      <w:pPr>
        <w:tabs>
          <w:tab w:val="left" w:pos="1655"/>
        </w:tabs>
        <w:ind w:left="1655" w:hanging="420"/>
      </w:pPr>
    </w:lvl>
    <w:lvl w:ilvl="3" w:tentative="0">
      <w:start w:val="1"/>
      <w:numFmt w:val="decimal"/>
      <w:lvlText w:val="%4."/>
      <w:lvlJc w:val="left"/>
      <w:pPr>
        <w:tabs>
          <w:tab w:val="left" w:pos="2075"/>
        </w:tabs>
        <w:ind w:left="2075" w:hanging="420"/>
      </w:pPr>
    </w:lvl>
    <w:lvl w:ilvl="4" w:tentative="0">
      <w:start w:val="1"/>
      <w:numFmt w:val="lowerLetter"/>
      <w:lvlText w:val="%5)"/>
      <w:lvlJc w:val="left"/>
      <w:pPr>
        <w:tabs>
          <w:tab w:val="left" w:pos="2495"/>
        </w:tabs>
        <w:ind w:left="2495" w:hanging="420"/>
      </w:pPr>
    </w:lvl>
    <w:lvl w:ilvl="5" w:tentative="0">
      <w:start w:val="1"/>
      <w:numFmt w:val="lowerRoman"/>
      <w:lvlText w:val="%6."/>
      <w:lvlJc w:val="right"/>
      <w:pPr>
        <w:tabs>
          <w:tab w:val="left" w:pos="2915"/>
        </w:tabs>
        <w:ind w:left="2915" w:hanging="420"/>
      </w:pPr>
    </w:lvl>
    <w:lvl w:ilvl="6" w:tentative="0">
      <w:start w:val="1"/>
      <w:numFmt w:val="decimal"/>
      <w:lvlText w:val="%7."/>
      <w:lvlJc w:val="left"/>
      <w:pPr>
        <w:tabs>
          <w:tab w:val="left" w:pos="3335"/>
        </w:tabs>
        <w:ind w:left="3335" w:hanging="420"/>
      </w:pPr>
    </w:lvl>
    <w:lvl w:ilvl="7" w:tentative="0">
      <w:start w:val="1"/>
      <w:numFmt w:val="lowerLetter"/>
      <w:lvlText w:val="%8)"/>
      <w:lvlJc w:val="left"/>
      <w:pPr>
        <w:tabs>
          <w:tab w:val="left" w:pos="3755"/>
        </w:tabs>
        <w:ind w:left="3755" w:hanging="420"/>
      </w:pPr>
    </w:lvl>
    <w:lvl w:ilvl="8" w:tentative="0">
      <w:start w:val="1"/>
      <w:numFmt w:val="lowerRoman"/>
      <w:lvlText w:val="%9."/>
      <w:lvlJc w:val="right"/>
      <w:pPr>
        <w:tabs>
          <w:tab w:val="left" w:pos="4175"/>
        </w:tabs>
        <w:ind w:left="4175" w:hanging="420"/>
      </w:pPr>
    </w:lvl>
  </w:abstractNum>
  <w:abstractNum w:abstractNumId="17">
    <w:nsid w:val="69C6226F"/>
    <w:multiLevelType w:val="multilevel"/>
    <w:tmpl w:val="69C6226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E3C60F7"/>
    <w:multiLevelType w:val="singleLevel"/>
    <w:tmpl w:val="6E3C60F7"/>
    <w:lvl w:ilvl="0" w:tentative="0">
      <w:start w:val="1"/>
      <w:numFmt w:val="bullet"/>
      <w:lvlText w:val=""/>
      <w:lvlJc w:val="left"/>
      <w:pPr>
        <w:ind w:left="420" w:hanging="420"/>
      </w:pPr>
      <w:rPr>
        <w:rFonts w:hint="default" w:ascii="Wingdings" w:hAnsi="Wingdings"/>
      </w:rPr>
    </w:lvl>
  </w:abstractNum>
  <w:abstractNum w:abstractNumId="19">
    <w:nsid w:val="75231FAE"/>
    <w:multiLevelType w:val="multilevel"/>
    <w:tmpl w:val="75231FA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90A4D92"/>
    <w:multiLevelType w:val="multilevel"/>
    <w:tmpl w:val="790A4D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0"/>
  </w:num>
  <w:num w:numId="3">
    <w:abstractNumId w:val="9"/>
  </w:num>
  <w:num w:numId="4">
    <w:abstractNumId w:val="17"/>
  </w:num>
  <w:num w:numId="5">
    <w:abstractNumId w:val="3"/>
  </w:num>
  <w:num w:numId="6">
    <w:abstractNumId w:val="19"/>
  </w:num>
  <w:num w:numId="7">
    <w:abstractNumId w:val="7"/>
  </w:num>
  <w:num w:numId="8">
    <w:abstractNumId w:val="16"/>
  </w:num>
  <w:num w:numId="9">
    <w:abstractNumId w:val="13"/>
  </w:num>
  <w:num w:numId="10">
    <w:abstractNumId w:val="10"/>
  </w:num>
  <w:num w:numId="11">
    <w:abstractNumId w:val="12"/>
  </w:num>
  <w:num w:numId="12">
    <w:abstractNumId w:val="11"/>
  </w:num>
  <w:num w:numId="13">
    <w:abstractNumId w:val="8"/>
  </w:num>
  <w:num w:numId="14">
    <w:abstractNumId w:val="14"/>
  </w:num>
  <w:num w:numId="15">
    <w:abstractNumId w:val="2"/>
  </w:num>
  <w:num w:numId="16">
    <w:abstractNumId w:val="4"/>
  </w:num>
  <w:num w:numId="17">
    <w:abstractNumId w:val="0"/>
  </w:num>
  <w:num w:numId="18">
    <w:abstractNumId w:val="18"/>
  </w:num>
  <w:num w:numId="19">
    <w:abstractNumId w:val="1"/>
  </w:num>
  <w:num w:numId="20">
    <w:abstractNumId w:val="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062"/>
    <w:rsid w:val="00000D5E"/>
    <w:rsid w:val="00025269"/>
    <w:rsid w:val="00031F06"/>
    <w:rsid w:val="00036EDE"/>
    <w:rsid w:val="00040595"/>
    <w:rsid w:val="0006033E"/>
    <w:rsid w:val="00060E2F"/>
    <w:rsid w:val="00066974"/>
    <w:rsid w:val="000671CB"/>
    <w:rsid w:val="00077418"/>
    <w:rsid w:val="0007741B"/>
    <w:rsid w:val="00080160"/>
    <w:rsid w:val="000937E1"/>
    <w:rsid w:val="000A3F68"/>
    <w:rsid w:val="000B04B1"/>
    <w:rsid w:val="000C209E"/>
    <w:rsid w:val="000C7B03"/>
    <w:rsid w:val="000D19B3"/>
    <w:rsid w:val="000E0621"/>
    <w:rsid w:val="000F0B0F"/>
    <w:rsid w:val="000F7E49"/>
    <w:rsid w:val="00103F78"/>
    <w:rsid w:val="00111D64"/>
    <w:rsid w:val="00122622"/>
    <w:rsid w:val="00126B18"/>
    <w:rsid w:val="00162AD2"/>
    <w:rsid w:val="00180BE0"/>
    <w:rsid w:val="001858C7"/>
    <w:rsid w:val="0019541D"/>
    <w:rsid w:val="001A282C"/>
    <w:rsid w:val="001A6934"/>
    <w:rsid w:val="001A6C3A"/>
    <w:rsid w:val="001B66FF"/>
    <w:rsid w:val="001B7483"/>
    <w:rsid w:val="001B76A3"/>
    <w:rsid w:val="001E5D67"/>
    <w:rsid w:val="001F6157"/>
    <w:rsid w:val="001F6738"/>
    <w:rsid w:val="00214577"/>
    <w:rsid w:val="00217365"/>
    <w:rsid w:val="00225A27"/>
    <w:rsid w:val="00240C44"/>
    <w:rsid w:val="00244A74"/>
    <w:rsid w:val="00255599"/>
    <w:rsid w:val="002648AF"/>
    <w:rsid w:val="00265A40"/>
    <w:rsid w:val="00280B5E"/>
    <w:rsid w:val="00285931"/>
    <w:rsid w:val="002B046F"/>
    <w:rsid w:val="002B192F"/>
    <w:rsid w:val="002B595E"/>
    <w:rsid w:val="002C7533"/>
    <w:rsid w:val="002F2CBD"/>
    <w:rsid w:val="003034FE"/>
    <w:rsid w:val="003150CD"/>
    <w:rsid w:val="00323B4A"/>
    <w:rsid w:val="0033537B"/>
    <w:rsid w:val="00336739"/>
    <w:rsid w:val="003605A6"/>
    <w:rsid w:val="003801FE"/>
    <w:rsid w:val="00391CCF"/>
    <w:rsid w:val="003922D0"/>
    <w:rsid w:val="003A03DF"/>
    <w:rsid w:val="003A7005"/>
    <w:rsid w:val="003B05B8"/>
    <w:rsid w:val="003B6932"/>
    <w:rsid w:val="003D744F"/>
    <w:rsid w:val="003E39F9"/>
    <w:rsid w:val="003F5AF7"/>
    <w:rsid w:val="003F61F8"/>
    <w:rsid w:val="004108B5"/>
    <w:rsid w:val="004478C0"/>
    <w:rsid w:val="0045336E"/>
    <w:rsid w:val="004733F2"/>
    <w:rsid w:val="00483699"/>
    <w:rsid w:val="004838A8"/>
    <w:rsid w:val="00487621"/>
    <w:rsid w:val="00494583"/>
    <w:rsid w:val="004A0655"/>
    <w:rsid w:val="004B2B41"/>
    <w:rsid w:val="004B6D50"/>
    <w:rsid w:val="004C4475"/>
    <w:rsid w:val="004C6ED6"/>
    <w:rsid w:val="00502BC0"/>
    <w:rsid w:val="00527108"/>
    <w:rsid w:val="00535A4F"/>
    <w:rsid w:val="00547142"/>
    <w:rsid w:val="00565C77"/>
    <w:rsid w:val="0056629C"/>
    <w:rsid w:val="00574949"/>
    <w:rsid w:val="00575F10"/>
    <w:rsid w:val="0057613D"/>
    <w:rsid w:val="00591D3F"/>
    <w:rsid w:val="005A4EF2"/>
    <w:rsid w:val="005A538F"/>
    <w:rsid w:val="005C0512"/>
    <w:rsid w:val="005D490B"/>
    <w:rsid w:val="005F2BDF"/>
    <w:rsid w:val="006114B8"/>
    <w:rsid w:val="00636187"/>
    <w:rsid w:val="00652479"/>
    <w:rsid w:val="00653361"/>
    <w:rsid w:val="00661534"/>
    <w:rsid w:val="00664409"/>
    <w:rsid w:val="006653FE"/>
    <w:rsid w:val="00670A9D"/>
    <w:rsid w:val="00684DE0"/>
    <w:rsid w:val="00684E0A"/>
    <w:rsid w:val="0069056F"/>
    <w:rsid w:val="006A2D5D"/>
    <w:rsid w:val="006A58D4"/>
    <w:rsid w:val="006B143E"/>
    <w:rsid w:val="006B616E"/>
    <w:rsid w:val="006C2FD3"/>
    <w:rsid w:val="006F6992"/>
    <w:rsid w:val="00711A61"/>
    <w:rsid w:val="007159A0"/>
    <w:rsid w:val="00735523"/>
    <w:rsid w:val="00735F3F"/>
    <w:rsid w:val="00740D14"/>
    <w:rsid w:val="00760697"/>
    <w:rsid w:val="007C6888"/>
    <w:rsid w:val="007D6CFF"/>
    <w:rsid w:val="007E26D7"/>
    <w:rsid w:val="008058A9"/>
    <w:rsid w:val="0085198C"/>
    <w:rsid w:val="00854E24"/>
    <w:rsid w:val="0085593C"/>
    <w:rsid w:val="00872F51"/>
    <w:rsid w:val="008A0603"/>
    <w:rsid w:val="008B4C33"/>
    <w:rsid w:val="008C0064"/>
    <w:rsid w:val="008D18EC"/>
    <w:rsid w:val="008D209B"/>
    <w:rsid w:val="008D2144"/>
    <w:rsid w:val="008D35B2"/>
    <w:rsid w:val="008D42F5"/>
    <w:rsid w:val="008F0674"/>
    <w:rsid w:val="00911B92"/>
    <w:rsid w:val="00912B39"/>
    <w:rsid w:val="00913720"/>
    <w:rsid w:val="00917545"/>
    <w:rsid w:val="00923505"/>
    <w:rsid w:val="00923616"/>
    <w:rsid w:val="00933F95"/>
    <w:rsid w:val="00936A98"/>
    <w:rsid w:val="00941A9E"/>
    <w:rsid w:val="009667C8"/>
    <w:rsid w:val="009757F9"/>
    <w:rsid w:val="009A1A20"/>
    <w:rsid w:val="009B30E5"/>
    <w:rsid w:val="009C1DBB"/>
    <w:rsid w:val="009D1924"/>
    <w:rsid w:val="009F4836"/>
    <w:rsid w:val="00A00388"/>
    <w:rsid w:val="00A165AE"/>
    <w:rsid w:val="00A332F9"/>
    <w:rsid w:val="00A47926"/>
    <w:rsid w:val="00A531C0"/>
    <w:rsid w:val="00A67353"/>
    <w:rsid w:val="00A74504"/>
    <w:rsid w:val="00A75D7D"/>
    <w:rsid w:val="00A93298"/>
    <w:rsid w:val="00A93FCC"/>
    <w:rsid w:val="00AA1797"/>
    <w:rsid w:val="00AA227A"/>
    <w:rsid w:val="00AA438C"/>
    <w:rsid w:val="00AD5952"/>
    <w:rsid w:val="00B04C81"/>
    <w:rsid w:val="00B07DE2"/>
    <w:rsid w:val="00B10310"/>
    <w:rsid w:val="00B13816"/>
    <w:rsid w:val="00B16DEF"/>
    <w:rsid w:val="00B22C27"/>
    <w:rsid w:val="00B30304"/>
    <w:rsid w:val="00B366AB"/>
    <w:rsid w:val="00B71643"/>
    <w:rsid w:val="00B7402F"/>
    <w:rsid w:val="00BC3123"/>
    <w:rsid w:val="00BC67E1"/>
    <w:rsid w:val="00BC7CFC"/>
    <w:rsid w:val="00BD4949"/>
    <w:rsid w:val="00BE253B"/>
    <w:rsid w:val="00BE54CE"/>
    <w:rsid w:val="00BF43DA"/>
    <w:rsid w:val="00BF5062"/>
    <w:rsid w:val="00C05190"/>
    <w:rsid w:val="00C1001B"/>
    <w:rsid w:val="00C218E0"/>
    <w:rsid w:val="00C25407"/>
    <w:rsid w:val="00C32770"/>
    <w:rsid w:val="00C349D9"/>
    <w:rsid w:val="00C34BE0"/>
    <w:rsid w:val="00C34F47"/>
    <w:rsid w:val="00C40A91"/>
    <w:rsid w:val="00C42A8C"/>
    <w:rsid w:val="00C4556B"/>
    <w:rsid w:val="00C46BFD"/>
    <w:rsid w:val="00C47984"/>
    <w:rsid w:val="00C53603"/>
    <w:rsid w:val="00C539D2"/>
    <w:rsid w:val="00C54E41"/>
    <w:rsid w:val="00C57516"/>
    <w:rsid w:val="00C61E39"/>
    <w:rsid w:val="00C66D10"/>
    <w:rsid w:val="00CB2440"/>
    <w:rsid w:val="00CD2F0B"/>
    <w:rsid w:val="00CD5386"/>
    <w:rsid w:val="00CE59B6"/>
    <w:rsid w:val="00D05B6F"/>
    <w:rsid w:val="00D116C9"/>
    <w:rsid w:val="00D26DAB"/>
    <w:rsid w:val="00D331DF"/>
    <w:rsid w:val="00D45A51"/>
    <w:rsid w:val="00D56A0B"/>
    <w:rsid w:val="00D57523"/>
    <w:rsid w:val="00D602BA"/>
    <w:rsid w:val="00D608A1"/>
    <w:rsid w:val="00D742F6"/>
    <w:rsid w:val="00D84767"/>
    <w:rsid w:val="00D92126"/>
    <w:rsid w:val="00D97B6F"/>
    <w:rsid w:val="00DB0F16"/>
    <w:rsid w:val="00DB5DEE"/>
    <w:rsid w:val="00DC5857"/>
    <w:rsid w:val="00DC785E"/>
    <w:rsid w:val="00DC7DCC"/>
    <w:rsid w:val="00DE1F64"/>
    <w:rsid w:val="00DF34C0"/>
    <w:rsid w:val="00DF7F52"/>
    <w:rsid w:val="00E122B4"/>
    <w:rsid w:val="00E123CD"/>
    <w:rsid w:val="00E148A8"/>
    <w:rsid w:val="00E33B9B"/>
    <w:rsid w:val="00E44174"/>
    <w:rsid w:val="00E45252"/>
    <w:rsid w:val="00E458A0"/>
    <w:rsid w:val="00E61A4B"/>
    <w:rsid w:val="00E66AB5"/>
    <w:rsid w:val="00E722C4"/>
    <w:rsid w:val="00E74836"/>
    <w:rsid w:val="00E830EF"/>
    <w:rsid w:val="00E852D5"/>
    <w:rsid w:val="00E90C74"/>
    <w:rsid w:val="00E9580E"/>
    <w:rsid w:val="00EA04FC"/>
    <w:rsid w:val="00EA276A"/>
    <w:rsid w:val="00EA320A"/>
    <w:rsid w:val="00EB1DC9"/>
    <w:rsid w:val="00EB2B12"/>
    <w:rsid w:val="00EB70D0"/>
    <w:rsid w:val="00EC22A8"/>
    <w:rsid w:val="00EC4A40"/>
    <w:rsid w:val="00EC759E"/>
    <w:rsid w:val="00ED7715"/>
    <w:rsid w:val="00EE2144"/>
    <w:rsid w:val="00F1064D"/>
    <w:rsid w:val="00F1353C"/>
    <w:rsid w:val="00F1476A"/>
    <w:rsid w:val="00F2094B"/>
    <w:rsid w:val="00F44697"/>
    <w:rsid w:val="00F55D06"/>
    <w:rsid w:val="00F829EC"/>
    <w:rsid w:val="00F85A03"/>
    <w:rsid w:val="00FA79CE"/>
    <w:rsid w:val="00FC49FD"/>
    <w:rsid w:val="00FD0A79"/>
    <w:rsid w:val="00FF4CC8"/>
    <w:rsid w:val="02AE76A4"/>
    <w:rsid w:val="050C20B5"/>
    <w:rsid w:val="0E4A4F1A"/>
    <w:rsid w:val="0EFF6B03"/>
    <w:rsid w:val="14930823"/>
    <w:rsid w:val="1C587868"/>
    <w:rsid w:val="21285A1B"/>
    <w:rsid w:val="2607448F"/>
    <w:rsid w:val="2899234E"/>
    <w:rsid w:val="2E182A08"/>
    <w:rsid w:val="31C31412"/>
    <w:rsid w:val="31D14AA4"/>
    <w:rsid w:val="34B07DEA"/>
    <w:rsid w:val="3BDE6358"/>
    <w:rsid w:val="42C44186"/>
    <w:rsid w:val="449A6A65"/>
    <w:rsid w:val="4BA27275"/>
    <w:rsid w:val="4F626DA1"/>
    <w:rsid w:val="50A40B30"/>
    <w:rsid w:val="5D2C4C7E"/>
    <w:rsid w:val="648C036A"/>
    <w:rsid w:val="652A3B58"/>
    <w:rsid w:val="68627A4C"/>
    <w:rsid w:val="6FAB4B75"/>
    <w:rsid w:val="770E7785"/>
    <w:rsid w:val="7D924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7"/>
    <w:qFormat/>
    <w:uiPriority w:val="9"/>
    <w:pPr>
      <w:keepNext/>
      <w:keepLines/>
      <w:widowControl/>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28"/>
    <w:qFormat/>
    <w:uiPriority w:val="9"/>
    <w:pPr>
      <w:keepNext/>
      <w:keepLines/>
      <w:widowControl/>
      <w:spacing w:before="260" w:after="260" w:line="416" w:lineRule="auto"/>
      <w:outlineLvl w:val="1"/>
    </w:pPr>
    <w:rPr>
      <w:rFonts w:ascii="Cambria" w:hAnsi="Cambria" w:eastAsia="宋体" w:cs="Cambria"/>
      <w:b/>
      <w:bCs/>
      <w:sz w:val="32"/>
      <w:szCs w:val="32"/>
    </w:rPr>
  </w:style>
  <w:style w:type="paragraph" w:styleId="5">
    <w:name w:val="heading 3"/>
    <w:basedOn w:val="1"/>
    <w:next w:val="1"/>
    <w:link w:val="34"/>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pBdr>
        <w:top w:val="single" w:color="A7BFDE" w:sz="8" w:space="10"/>
        <w:bottom w:val="single" w:color="9BBB59" w:sz="24" w:space="15"/>
      </w:pBdr>
      <w:jc w:val="center"/>
    </w:pPr>
    <w:rPr>
      <w:rFonts w:ascii="宋体" w:hAnsi="Courier New" w:cs="Courier New"/>
      <w:szCs w:val="21"/>
    </w:rPr>
  </w:style>
  <w:style w:type="paragraph" w:styleId="6">
    <w:name w:val="annotation text"/>
    <w:basedOn w:val="1"/>
    <w:link w:val="38"/>
    <w:semiHidden/>
    <w:qFormat/>
    <w:uiPriority w:val="99"/>
    <w:pPr>
      <w:widowControl/>
      <w:spacing w:after="120" w:line="400" w:lineRule="exact"/>
      <w:jc w:val="left"/>
    </w:pPr>
    <w:rPr>
      <w:rFonts w:ascii="Times New Roman" w:hAnsi="Times New Roman" w:eastAsia="宋体" w:cs="Times New Roman"/>
      <w:kern w:val="0"/>
      <w:sz w:val="24"/>
      <w:szCs w:val="20"/>
    </w:rPr>
  </w:style>
  <w:style w:type="paragraph" w:styleId="7">
    <w:name w:val="Body Text"/>
    <w:basedOn w:val="1"/>
    <w:link w:val="30"/>
    <w:semiHidden/>
    <w:unhideWhenUsed/>
    <w:qFormat/>
    <w:uiPriority w:val="99"/>
    <w:pPr>
      <w:spacing w:after="120"/>
    </w:pPr>
  </w:style>
  <w:style w:type="paragraph" w:styleId="8">
    <w:name w:val="Body Text Indent"/>
    <w:basedOn w:val="1"/>
    <w:next w:val="9"/>
    <w:link w:val="33"/>
    <w:qFormat/>
    <w:uiPriority w:val="99"/>
    <w:pPr>
      <w:adjustRightInd w:val="0"/>
      <w:spacing w:line="360" w:lineRule="auto"/>
      <w:ind w:firstLine="490"/>
      <w:jc w:val="left"/>
    </w:pPr>
    <w:rPr>
      <w:rFonts w:ascii="Century Gothic" w:hAnsi="Century Gothic" w:eastAsia="宋体" w:cs="Century Gothic"/>
      <w:sz w:val="24"/>
      <w:szCs w:val="24"/>
    </w:rPr>
  </w:style>
  <w:style w:type="paragraph" w:styleId="9">
    <w:name w:val="envelope return"/>
    <w:basedOn w:val="1"/>
    <w:qFormat/>
    <w:uiPriority w:val="0"/>
    <w:pPr>
      <w:snapToGrid w:val="0"/>
    </w:pPr>
    <w:rPr>
      <w:rFonts w:ascii="Arial" w:hAnsi="Arial"/>
    </w:rPr>
  </w:style>
  <w:style w:type="paragraph" w:styleId="10">
    <w:name w:val="Plain Text"/>
    <w:basedOn w:val="1"/>
    <w:qFormat/>
    <w:uiPriority w:val="0"/>
    <w:pPr>
      <w:spacing w:before="156" w:beforeLines="50" w:after="156" w:afterLines="50" w:line="400" w:lineRule="exact"/>
    </w:pPr>
    <w:rPr>
      <w:rFonts w:ascii="宋体" w:hAnsi="Courier New"/>
      <w:sz w:val="24"/>
    </w:rPr>
  </w:style>
  <w:style w:type="paragraph" w:styleId="11">
    <w:name w:val="Date"/>
    <w:basedOn w:val="1"/>
    <w:next w:val="1"/>
    <w:link w:val="40"/>
    <w:semiHidden/>
    <w:unhideWhenUsed/>
    <w:qFormat/>
    <w:uiPriority w:val="0"/>
    <w:pPr>
      <w:ind w:left="2500" w:leftChars="2500"/>
    </w:pPr>
    <w:rPr>
      <w:rFonts w:ascii="Times New Roman" w:hAnsi="Times New Roman" w:eastAsia="楷体_GB2312" w:cs="Times New Roman"/>
      <w:sz w:val="32"/>
      <w:szCs w:val="20"/>
    </w:rPr>
  </w:style>
  <w:style w:type="paragraph" w:styleId="12">
    <w:name w:val="footer"/>
    <w:basedOn w:val="1"/>
    <w:link w:val="32"/>
    <w:unhideWhenUsed/>
    <w:qFormat/>
    <w:uiPriority w:val="99"/>
    <w:pPr>
      <w:widowControl/>
      <w:tabs>
        <w:tab w:val="center" w:pos="4153"/>
        <w:tab w:val="right" w:pos="8306"/>
      </w:tabs>
      <w:snapToGrid w:val="0"/>
      <w:jc w:val="left"/>
    </w:pPr>
    <w:rPr>
      <w:rFonts w:ascii="Times New Roman" w:hAnsi="Times New Roman" w:eastAsia="宋体" w:cs="Times New Roman"/>
      <w:sz w:val="18"/>
      <w:szCs w:val="18"/>
    </w:rPr>
  </w:style>
  <w:style w:type="paragraph" w:styleId="13">
    <w:name w:val="header"/>
    <w:basedOn w:val="1"/>
    <w:link w:val="29"/>
    <w:unhideWhenUsed/>
    <w:qFormat/>
    <w:uiPriority w:val="99"/>
    <w:pPr>
      <w:widowControl/>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4">
    <w:name w:val="toc 1"/>
    <w:basedOn w:val="1"/>
    <w:next w:val="1"/>
    <w:unhideWhenUsed/>
    <w:qFormat/>
    <w:uiPriority w:val="39"/>
    <w:pPr>
      <w:widowControl/>
      <w:spacing w:before="120" w:after="120"/>
      <w:jc w:val="left"/>
    </w:pPr>
    <w:rPr>
      <w:rFonts w:ascii="Calibri" w:hAnsi="Calibri" w:eastAsia="宋体" w:cs="Calibri"/>
      <w:b/>
      <w:bCs/>
      <w:caps/>
      <w:sz w:val="20"/>
      <w:szCs w:val="20"/>
    </w:rPr>
  </w:style>
  <w:style w:type="paragraph" w:styleId="15">
    <w:name w:val="List"/>
    <w:basedOn w:val="1"/>
    <w:next w:val="16"/>
    <w:link w:val="39"/>
    <w:qFormat/>
    <w:uiPriority w:val="99"/>
    <w:pPr>
      <w:ind w:firstLine="420" w:firstLineChars="200"/>
    </w:pPr>
    <w:rPr>
      <w:rFonts w:ascii="Times New Roman" w:hAnsi="Times New Roman" w:eastAsia="宋体" w:cs="Times New Roman"/>
      <w:szCs w:val="24"/>
    </w:rPr>
  </w:style>
  <w:style w:type="paragraph" w:styleId="16">
    <w:name w:val="List Paragraph"/>
    <w:basedOn w:val="1"/>
    <w:qFormat/>
    <w:uiPriority w:val="34"/>
    <w:pPr>
      <w:ind w:firstLine="420" w:firstLineChars="200"/>
    </w:pPr>
    <w:rPr>
      <w:rFonts w:ascii="Calibri" w:hAnsi="Calibri" w:eastAsia="宋体" w:cs="Calibri"/>
      <w:szCs w:val="21"/>
    </w:rPr>
  </w:style>
  <w:style w:type="paragraph" w:styleId="17">
    <w:name w:val="toc 2"/>
    <w:basedOn w:val="1"/>
    <w:next w:val="1"/>
    <w:unhideWhenUsed/>
    <w:qFormat/>
    <w:uiPriority w:val="39"/>
    <w:pPr>
      <w:widowControl/>
      <w:ind w:left="210"/>
      <w:jc w:val="left"/>
    </w:pPr>
    <w:rPr>
      <w:rFonts w:ascii="Calibri" w:hAnsi="Calibri" w:eastAsia="宋体" w:cs="Calibri"/>
      <w:smallCaps/>
      <w:sz w:val="20"/>
      <w:szCs w:val="20"/>
    </w:rPr>
  </w:style>
  <w:style w:type="paragraph" w:styleId="18">
    <w:name w:val="Normal (Web)"/>
    <w:basedOn w:val="1"/>
    <w:qFormat/>
    <w:uiPriority w:val="0"/>
    <w:pPr>
      <w:widowControl/>
      <w:spacing w:before="100" w:beforeAutospacing="1" w:after="100" w:afterAutospacing="1"/>
      <w:jc w:val="left"/>
    </w:pPr>
    <w:rPr>
      <w:kern w:val="0"/>
      <w:sz w:val="24"/>
    </w:rPr>
  </w:style>
  <w:style w:type="paragraph" w:styleId="19">
    <w:name w:val="Body Text First Indent"/>
    <w:basedOn w:val="7"/>
    <w:link w:val="31"/>
    <w:unhideWhenUsed/>
    <w:qFormat/>
    <w:uiPriority w:val="99"/>
    <w:pPr>
      <w:ind w:firstLine="420" w:firstLineChars="100"/>
    </w:pPr>
    <w:rPr>
      <w:rFonts w:ascii="Calibri" w:hAnsi="Calibri" w:eastAsia="宋体" w:cs="Calibri"/>
      <w:szCs w:val="21"/>
    </w:rPr>
  </w:style>
  <w:style w:type="paragraph" w:styleId="20">
    <w:name w:val="Body Text First Indent 2"/>
    <w:basedOn w:val="8"/>
    <w:qFormat/>
    <w:uiPriority w:val="0"/>
    <w:pPr>
      <w:ind w:firstLine="420"/>
    </w:pPr>
    <w:rPr>
      <w:rFonts w:ascii="Times New Roman" w:hAnsi="Times New Roman" w:cs="Times New Roman"/>
    </w:rPr>
  </w:style>
  <w:style w:type="character" w:styleId="23">
    <w:name w:val="page number"/>
    <w:basedOn w:val="22"/>
    <w:unhideWhenUsed/>
    <w:qFormat/>
    <w:uiPriority w:val="99"/>
  </w:style>
  <w:style w:type="character" w:styleId="24">
    <w:name w:val="Hyperlink"/>
    <w:basedOn w:val="22"/>
    <w:unhideWhenUsed/>
    <w:qFormat/>
    <w:uiPriority w:val="99"/>
    <w:rPr>
      <w:color w:val="0000FF"/>
      <w:u w:val="single"/>
    </w:rPr>
  </w:style>
  <w:style w:type="paragraph" w:customStyle="1" w:styleId="25">
    <w:name w:val="表格文字"/>
    <w:basedOn w:val="1"/>
    <w:qFormat/>
    <w:uiPriority w:val="0"/>
    <w:pPr>
      <w:spacing w:before="25" w:after="25"/>
      <w:jc w:val="left"/>
    </w:pPr>
    <w:rPr>
      <w:bCs/>
      <w:spacing w:val="10"/>
      <w:kern w:val="0"/>
      <w:sz w:val="24"/>
      <w:szCs w:val="20"/>
    </w:rPr>
  </w:style>
  <w:style w:type="paragraph" w:customStyle="1" w:styleId="2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7">
    <w:name w:val="标题 1 字符"/>
    <w:basedOn w:val="22"/>
    <w:link w:val="3"/>
    <w:qFormat/>
    <w:uiPriority w:val="9"/>
    <w:rPr>
      <w:rFonts w:ascii="Times New Roman" w:hAnsi="Times New Roman" w:eastAsia="宋体" w:cs="Times New Roman"/>
      <w:b/>
      <w:bCs/>
      <w:kern w:val="44"/>
      <w:sz w:val="44"/>
      <w:szCs w:val="44"/>
    </w:rPr>
  </w:style>
  <w:style w:type="character" w:customStyle="1" w:styleId="28">
    <w:name w:val="标题 2 字符"/>
    <w:basedOn w:val="22"/>
    <w:link w:val="4"/>
    <w:qFormat/>
    <w:uiPriority w:val="9"/>
    <w:rPr>
      <w:rFonts w:ascii="Cambria" w:hAnsi="Cambria" w:eastAsia="宋体" w:cs="Cambria"/>
      <w:b/>
      <w:bCs/>
      <w:sz w:val="32"/>
      <w:szCs w:val="32"/>
    </w:rPr>
  </w:style>
  <w:style w:type="character" w:customStyle="1" w:styleId="29">
    <w:name w:val="页眉 字符"/>
    <w:basedOn w:val="22"/>
    <w:link w:val="13"/>
    <w:qFormat/>
    <w:uiPriority w:val="99"/>
    <w:rPr>
      <w:rFonts w:ascii="Times New Roman" w:hAnsi="Times New Roman" w:eastAsia="宋体" w:cs="Times New Roman"/>
      <w:sz w:val="18"/>
      <w:szCs w:val="18"/>
    </w:rPr>
  </w:style>
  <w:style w:type="character" w:customStyle="1" w:styleId="30">
    <w:name w:val="正文文本 字符"/>
    <w:basedOn w:val="22"/>
    <w:link w:val="7"/>
    <w:semiHidden/>
    <w:qFormat/>
    <w:uiPriority w:val="99"/>
  </w:style>
  <w:style w:type="character" w:customStyle="1" w:styleId="31">
    <w:name w:val="正文文本首行缩进 字符"/>
    <w:basedOn w:val="30"/>
    <w:link w:val="19"/>
    <w:qFormat/>
    <w:uiPriority w:val="99"/>
    <w:rPr>
      <w:rFonts w:ascii="Calibri" w:hAnsi="Calibri" w:eastAsia="宋体" w:cs="Calibri"/>
      <w:szCs w:val="21"/>
    </w:rPr>
  </w:style>
  <w:style w:type="character" w:customStyle="1" w:styleId="32">
    <w:name w:val="页脚 字符"/>
    <w:basedOn w:val="22"/>
    <w:link w:val="12"/>
    <w:qFormat/>
    <w:uiPriority w:val="99"/>
    <w:rPr>
      <w:rFonts w:ascii="Times New Roman" w:hAnsi="Times New Roman" w:eastAsia="宋体" w:cs="Times New Roman"/>
      <w:sz w:val="18"/>
      <w:szCs w:val="18"/>
    </w:rPr>
  </w:style>
  <w:style w:type="character" w:customStyle="1" w:styleId="33">
    <w:name w:val="正文文本缩进 字符"/>
    <w:basedOn w:val="22"/>
    <w:link w:val="8"/>
    <w:qFormat/>
    <w:uiPriority w:val="99"/>
    <w:rPr>
      <w:rFonts w:ascii="Century Gothic" w:hAnsi="Century Gothic" w:eastAsia="宋体" w:cs="Century Gothic"/>
      <w:sz w:val="24"/>
      <w:szCs w:val="24"/>
    </w:rPr>
  </w:style>
  <w:style w:type="character" w:customStyle="1" w:styleId="34">
    <w:name w:val="标题 3 字符"/>
    <w:basedOn w:val="22"/>
    <w:link w:val="5"/>
    <w:semiHidden/>
    <w:qFormat/>
    <w:uiPriority w:val="9"/>
    <w:rPr>
      <w:b/>
      <w:bCs/>
      <w:sz w:val="32"/>
      <w:szCs w:val="32"/>
    </w:rPr>
  </w:style>
  <w:style w:type="paragraph" w:customStyle="1" w:styleId="35">
    <w:name w:val="Action Item"/>
    <w:basedOn w:val="1"/>
    <w:qFormat/>
    <w:uiPriority w:val="0"/>
    <w:pPr>
      <w:widowControl/>
      <w:spacing w:after="120" w:line="400" w:lineRule="exact"/>
      <w:ind w:left="360" w:hanging="360"/>
      <w:jc w:val="left"/>
    </w:pPr>
    <w:rPr>
      <w:rFonts w:ascii="Times New Roman" w:hAnsi="Times New Roman" w:eastAsia="宋体" w:cs="Times New Roman"/>
      <w:kern w:val="0"/>
      <w:sz w:val="24"/>
      <w:szCs w:val="20"/>
    </w:rPr>
  </w:style>
  <w:style w:type="character" w:customStyle="1" w:styleId="36">
    <w:name w:val="批注文字 字符"/>
    <w:basedOn w:val="22"/>
    <w:semiHidden/>
    <w:qFormat/>
    <w:uiPriority w:val="99"/>
  </w:style>
  <w:style w:type="paragraph" w:customStyle="1" w:styleId="37">
    <w:name w:val="正文2"/>
    <w:basedOn w:val="1"/>
    <w:qFormat/>
    <w:uiPriority w:val="0"/>
    <w:pPr>
      <w:widowControl/>
      <w:numPr>
        <w:ilvl w:val="0"/>
        <w:numId w:val="1"/>
      </w:numPr>
      <w:spacing w:before="120" w:beforeLines="50" w:after="120" w:afterLines="50" w:line="360" w:lineRule="auto"/>
      <w:jc w:val="left"/>
    </w:pPr>
    <w:rPr>
      <w:rFonts w:ascii="Arial" w:hAnsi="Arial" w:eastAsia="黑体" w:cs="Arial"/>
      <w:kern w:val="0"/>
      <w:sz w:val="24"/>
      <w:szCs w:val="24"/>
    </w:rPr>
  </w:style>
  <w:style w:type="character" w:customStyle="1" w:styleId="38">
    <w:name w:val="批注文字 字符1"/>
    <w:link w:val="6"/>
    <w:semiHidden/>
    <w:qFormat/>
    <w:uiPriority w:val="99"/>
    <w:rPr>
      <w:rFonts w:ascii="Times New Roman" w:hAnsi="Times New Roman" w:eastAsia="宋体" w:cs="Times New Roman"/>
      <w:kern w:val="0"/>
      <w:sz w:val="24"/>
      <w:szCs w:val="20"/>
    </w:rPr>
  </w:style>
  <w:style w:type="character" w:customStyle="1" w:styleId="39">
    <w:name w:val="列表 字符"/>
    <w:link w:val="15"/>
    <w:qFormat/>
    <w:uiPriority w:val="34"/>
    <w:rPr>
      <w:kern w:val="2"/>
      <w:sz w:val="21"/>
      <w:szCs w:val="24"/>
    </w:rPr>
  </w:style>
  <w:style w:type="character" w:customStyle="1" w:styleId="40">
    <w:name w:val="日期 字符"/>
    <w:basedOn w:val="22"/>
    <w:link w:val="11"/>
    <w:semiHidden/>
    <w:qFormat/>
    <w:uiPriority w:val="0"/>
    <w:rPr>
      <w:rFonts w:ascii="Times New Roman" w:hAnsi="Times New Roman" w:eastAsia="楷体_GB2312" w:cs="Times New Roman"/>
      <w:sz w:val="32"/>
      <w:szCs w:val="20"/>
    </w:rPr>
  </w:style>
  <w:style w:type="paragraph" w:customStyle="1" w:styleId="41">
    <w:name w:val="列出段落1"/>
    <w:basedOn w:val="1"/>
    <w:qFormat/>
    <w:uiPriority w:val="0"/>
    <w:pPr>
      <w:ind w:firstLine="420" w:firstLineChars="200"/>
    </w:pPr>
    <w:rPr>
      <w:rFonts w:cs="宋体"/>
      <w:szCs w:val="21"/>
    </w:rPr>
  </w:style>
  <w:style w:type="paragraph" w:customStyle="1" w:styleId="42">
    <w:name w:val="正常1"/>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customStyle="1" w:styleId="43">
    <w:name w:val="a"/>
    <w:basedOn w:val="1"/>
    <w:qFormat/>
    <w:uiPriority w:val="0"/>
    <w:pPr>
      <w:widowControl/>
      <w:jc w:val="left"/>
    </w:pPr>
    <w:rPr>
      <w:rFonts w:ascii="宋体" w:hAnsi="宋体" w:cs="宋体"/>
      <w:kern w:val="0"/>
      <w:sz w:val="24"/>
    </w:rPr>
  </w:style>
  <w:style w:type="character" w:customStyle="1" w:styleId="44">
    <w:name w:val="font101"/>
    <w:basedOn w:val="22"/>
    <w:qFormat/>
    <w:uiPriority w:val="0"/>
    <w:rPr>
      <w:rFonts w:hint="eastAsia" w:ascii="微软雅黑" w:hAnsi="微软雅黑" w:eastAsia="微软雅黑" w:cs="微软雅黑"/>
      <w:color w:val="000000"/>
      <w:sz w:val="20"/>
      <w:szCs w:val="20"/>
      <w:u w:val="none"/>
    </w:rPr>
  </w:style>
  <w:style w:type="character" w:customStyle="1" w:styleId="45">
    <w:name w:val="font31"/>
    <w:basedOn w:val="22"/>
    <w:qFormat/>
    <w:uiPriority w:val="0"/>
    <w:rPr>
      <w:rFonts w:hint="eastAsia" w:ascii="宋体" w:hAnsi="宋体" w:eastAsia="宋体" w:cs="宋体"/>
      <w:color w:val="000000"/>
      <w:sz w:val="20"/>
      <w:szCs w:val="20"/>
      <w:u w:val="none"/>
    </w:rPr>
  </w:style>
  <w:style w:type="character" w:customStyle="1" w:styleId="46">
    <w:name w:val="font21"/>
    <w:basedOn w:val="22"/>
    <w:qFormat/>
    <w:uiPriority w:val="0"/>
    <w:rPr>
      <w:rFonts w:hint="eastAsia" w:ascii="宋体" w:hAnsi="宋体" w:eastAsia="宋体" w:cs="宋体"/>
      <w:color w:val="000000"/>
      <w:sz w:val="20"/>
      <w:szCs w:val="20"/>
      <w:u w:val="none"/>
    </w:rPr>
  </w:style>
  <w:style w:type="paragraph" w:customStyle="1" w:styleId="47">
    <w:name w:val="样式3"/>
    <w:basedOn w:val="10"/>
    <w:qFormat/>
    <w:uiPriority w:val="99"/>
    <w:pPr>
      <w:spacing w:line="240" w:lineRule="atLeast"/>
      <w:outlineLvl w:val="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2048</Words>
  <Characters>11679</Characters>
  <Lines>97</Lines>
  <Paragraphs>27</Paragraphs>
  <TotalTime>4</TotalTime>
  <ScaleCrop>false</ScaleCrop>
  <LinksUpToDate>false</LinksUpToDate>
  <CharactersWithSpaces>13700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2021-06-30T04:33:00Z</dcterms:created>
  <dc:creator>administrator</dc:creator>
  <cp:lastModifiedBy>诗曐</cp:lastModifiedBy>
  <dcterms:modified xsi:type="dcterms:W3CDTF">2021-07-20T02:55:44Z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8D99DF187766440B80BD262CA28CEC1F</vt:lpwstr>
  </property>
</Properties>
</file>